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sdt>
      <w:sdtPr>
        <w:id w:val="2101979196"/>
        <w:docPartObj>
          <w:docPartGallery w:val="Cover Pages"/>
          <w:docPartUnique/>
        </w:docPartObj>
      </w:sdtPr>
      <w:sdtContent>
        <w:sdt>
          <w:sdtPr>
            <w:id w:val="-675342439"/>
            <w:docPartObj>
              <w:docPartGallery w:val="Cover Pages"/>
              <w:docPartUnique/>
            </w:docPartObj>
          </w:sdtPr>
          <w:sdtContent>
            <w:p w14:paraId="53E7A2C0" w14:textId="77777777" w:rsidR="00E10674" w:rsidRDefault="00E10674" w:rsidP="00E10674">
              <w:r>
                <w:rPr>
                  <w:noProof/>
                </w:rPr>
                <w:drawing>
                  <wp:inline distT="0" distB="0" distL="0" distR="0" wp14:anchorId="57966846" wp14:editId="402B2FAE">
                    <wp:extent cx="5943600" cy="3332480"/>
                    <wp:effectExtent l="0" t="0" r="0" b="0"/>
                    <wp:docPr id="594909332" name="Picture 8" descr="A colorful square with different shapes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4909332" name="Picture 8" descr="A colorful square with different shapes&#10;&#10;AI-generated content may be incorrect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43600" cy="333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14:paraId="785B8413" w14:textId="77777777" w:rsidR="00E10674" w:rsidRDefault="00E10674" w:rsidP="00E10674"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1" locked="0" layoutInCell="1" allowOverlap="1" wp14:anchorId="53D0EF6A" wp14:editId="117DA11C">
                        <wp:simplePos x="0" y="0"/>
                        <wp:positionH relativeFrom="page">
                          <wp:align>center</wp:align>
                        </wp:positionH>
                        <mc:AlternateContent>
                          <mc:Choice Requires="wp14">
                            <wp:positionV relativeFrom="page">
                              <wp14:pctPosVOffset>51000</wp14:pctPosVOffset>
                            </wp:positionV>
                          </mc:Choice>
                          <mc:Fallback>
                            <wp:positionV relativeFrom="page">
                              <wp:posOffset>5129530</wp:posOffset>
                            </wp:positionV>
                          </mc:Fallback>
                        </mc:AlternateContent>
                        <wp:extent cx="7034530" cy="4219575"/>
                        <wp:effectExtent l="0" t="0" r="6985" b="9525"/>
                        <wp:wrapNone/>
                        <wp:docPr id="1" name="Text Box 2" descr="Cover page content layou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7034530" cy="421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  <w:tblDescription w:val="Cover page info"/>
                                    </w:tblPr>
                                    <w:tblGrid>
                                      <w:gridCol w:w="820"/>
                                      <w:gridCol w:w="10263"/>
                                    </w:tblGrid>
                                    <w:tr w:rsidR="00E10674" w14:paraId="066BD6F1" w14:textId="77777777" w:rsidTr="00D56FD0">
                                      <w:trPr>
                                        <w:trHeight w:val="2376"/>
                                      </w:trPr>
                                      <w:tc>
                                        <w:tcPr>
                                          <w:tcW w:w="370" w:type="pct"/>
                                          <w:shd w:val="clear" w:color="auto" w:fill="FAE2D5" w:themeFill="accent2" w:themeFillTint="33"/>
                                        </w:tcPr>
                                        <w:p w14:paraId="7F2264EE" w14:textId="77777777" w:rsidR="00E10674" w:rsidRDefault="00E10674"/>
                                      </w:tc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72"/>
                                            <w:szCs w:val="72"/>
                                            <w:lang w:val="mk-MK"/>
                                          </w:rPr>
                                          <w:alias w:val="Title"/>
                                          <w:tag w:val=""/>
                                          <w:id w:val="739824258"/>
                                          <w:placeholder>
                                            <w:docPart w:val="1776BBAA0A8D419385A2C39F9670C7B1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Content>
                                          <w:tc>
                                            <w:tcPr>
                                              <w:tcW w:w="4630" w:type="pct"/>
                                              <w:shd w:val="clear" w:color="auto" w:fill="7F7F7F" w:themeFill="text1" w:themeFillTint="80"/>
                                            </w:tcPr>
                                            <w:p w14:paraId="6586FB84" w14:textId="7EA314AD" w:rsidR="00E10674" w:rsidRPr="00000399" w:rsidRDefault="00E10674" w:rsidP="00000399">
                                              <w:pPr>
                                                <w:pStyle w:val="NoSpacing"/>
                                                <w:spacing w:before="240" w:line="216" w:lineRule="auto"/>
                                                <w:ind w:left="360" w:right="360"/>
                                                <w:contextualSpacing/>
                                                <w:jc w:val="center"/>
                                                <w:rPr>
                                                  <w:rFonts w:asciiTheme="majorHAnsi" w:hAnsiTheme="majorHAnsi"/>
                                                  <w:color w:val="FFFFFF" w:themeColor="background1"/>
                                                  <w:sz w:val="96"/>
                                                  <w:szCs w:val="96"/>
                                                  <w:lang w:val="mk-MK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HAnsi" w:hAnsiTheme="majorHAnsi"/>
                                                  <w:color w:val="FFFFFF" w:themeColor="background1"/>
                                                  <w:sz w:val="72"/>
                                                  <w:szCs w:val="72"/>
                                                  <w:lang w:val="mk-MK"/>
                                                </w:rPr>
                                                <w:t xml:space="preserve">Методологија за евалуација (рубрика за бодување, </w:t>
                                              </w:r>
                                              <w:proofErr w:type="spellStart"/>
                                              <w:r>
                                                <w:rPr>
                                                  <w:rFonts w:asciiTheme="majorHAnsi" w:hAnsiTheme="majorHAnsi"/>
                                                  <w:color w:val="FFFFFF" w:themeColor="background1"/>
                                                  <w:sz w:val="72"/>
                                                  <w:szCs w:val="72"/>
                                                  <w:lang w:val="mk-MK"/>
                                                </w:rPr>
                                                <w:t>пондери</w:t>
                                              </w:r>
                                              <w:proofErr w:type="spellEnd"/>
                                              <w:r>
                                                <w:rPr>
                                                  <w:rFonts w:asciiTheme="majorHAnsi" w:hAnsiTheme="majorHAnsi"/>
                                                  <w:color w:val="FFFFFF" w:themeColor="background1"/>
                                                  <w:sz w:val="72"/>
                                                  <w:szCs w:val="72"/>
                                                  <w:lang w:val="mk-MK"/>
                                                </w:rPr>
                                                <w:t>)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tr>
                                    <w:tr w:rsidR="00E10674" w14:paraId="5B299844" w14:textId="77777777" w:rsidTr="00D56FD0">
                                      <w:trPr>
                                        <w:trHeight w:hRule="exact" w:val="648"/>
                                      </w:trPr>
                                      <w:tc>
                                        <w:tcPr>
                                          <w:tcW w:w="370" w:type="pct"/>
                                          <w:shd w:val="clear" w:color="auto" w:fill="FAE2D5" w:themeFill="accent2" w:themeFillTint="33"/>
                                        </w:tcPr>
                                        <w:p w14:paraId="722182CF" w14:textId="77777777" w:rsidR="00E10674" w:rsidRDefault="00E10674"/>
                                      </w:tc>
                                      <w:tc>
                                        <w:tcPr>
                                          <w:tcW w:w="4630" w:type="pct"/>
                                          <w:shd w:val="clear" w:color="auto" w:fill="7F7F7F" w:themeFill="text1" w:themeFillTint="80"/>
                                          <w:vAlign w:val="bottom"/>
                                        </w:tcPr>
                                        <w:p w14:paraId="0AA4464C" w14:textId="77777777" w:rsidR="00E10674" w:rsidRPr="00000399" w:rsidRDefault="00E10674">
                                          <w:pPr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10674" w14:paraId="22A7DA20" w14:textId="77777777" w:rsidTr="00D56FD0">
                                      <w:trPr>
                                        <w:trHeight w:val="2688"/>
                                      </w:trPr>
                                      <w:tc>
                                        <w:tcPr>
                                          <w:tcW w:w="370" w:type="pct"/>
                                          <w:shd w:val="clear" w:color="auto" w:fill="FAE2D5" w:themeFill="accent2" w:themeFillTint="33"/>
                                        </w:tcPr>
                                        <w:p w14:paraId="65C34D8E" w14:textId="77777777" w:rsidR="00E10674" w:rsidRDefault="00E10674"/>
                                      </w:tc>
                                      <w:tc>
                                        <w:tcPr>
                                          <w:tcW w:w="4630" w:type="pct"/>
                                          <w:shd w:val="clear" w:color="auto" w:fill="7F7F7F" w:themeFill="text1" w:themeFillTint="80"/>
                                          <w:vAlign w:val="bottom"/>
                                        </w:tcPr>
                                        <w:p w14:paraId="10832D29" w14:textId="77777777" w:rsidR="00E10674" w:rsidRPr="00000399" w:rsidRDefault="00E10674">
                                          <w:pPr>
                                            <w:pStyle w:val="NoSpacing"/>
                                            <w:spacing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Style w:val="TableGrid"/>
                                            <w:tblW w:w="0" w:type="auto"/>
                                            <w:tblInd w:w="360" w:type="dxa"/>
                                            <w:tblBorders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insideH w:val="none" w:sz="0" w:space="0" w:color="auto"/>
                                              <w:insideV w:val="none" w:sz="0" w:space="0" w:color="auto"/>
                                            </w:tblBorders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16"/>
                                            <w:gridCol w:w="4963"/>
                                          </w:tblGrid>
                                          <w:tr w:rsidR="00E10674" w:rsidRPr="0066017E" w14:paraId="10310EF0" w14:textId="77777777" w:rsidTr="00A34859">
                                            <w:tc>
                                              <w:tcPr>
                                                <w:tcW w:w="4916" w:type="dxa"/>
                                              </w:tcPr>
                                              <w:p w14:paraId="136838F1" w14:textId="77777777" w:rsidR="00E10674" w:rsidRDefault="00E10674">
                                                <w:pPr>
                                                  <w:pStyle w:val="NoSpacing"/>
                                                  <w:spacing w:line="288" w:lineRule="auto"/>
                                                  <w:ind w:right="360"/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</w:pPr>
                                                <w:r w:rsidRPr="00A34859"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  <w:t xml:space="preserve">Подготвено од: </w:t>
                                                </w:r>
                                              </w:p>
                                              <w:p w14:paraId="205D2E20" w14:textId="77777777" w:rsidR="00E10674" w:rsidRDefault="00E10674">
                                                <w:pPr>
                                                  <w:pStyle w:val="NoSpacing"/>
                                                  <w:spacing w:line="288" w:lineRule="auto"/>
                                                  <w:ind w:right="360"/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</w:pPr>
                                                <w:r w:rsidRPr="00A34859"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  <w:t>Петровска Ана Марија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963" w:type="dxa"/>
                                              </w:tcPr>
                                              <w:p w14:paraId="31BF3A6C" w14:textId="515D3B3D" w:rsidR="00E10674" w:rsidRDefault="00E10674" w:rsidP="00A34859">
                                                <w:pPr>
                                                  <w:pStyle w:val="NoSpacing"/>
                                                  <w:spacing w:line="288" w:lineRule="auto"/>
                                                  <w:ind w:left="360" w:right="360"/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</w:pPr>
                                                <w:r w:rsidRPr="00A34859"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  <w:t>Подготвено за: Министерство за Локална Самоуправа (МЛС)</w:t>
                                                </w:r>
                                                <w:r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  <w:t xml:space="preserve"> </w:t>
                                                </w:r>
                                                <w:r w:rsidRPr="00A34859">
                                                  <w:rPr>
                                                    <w:color w:val="FFFFFF" w:themeColor="background1"/>
                                                    <w:sz w:val="28"/>
                                                    <w:szCs w:val="28"/>
                                                    <w:lang w:val="mk-MK"/>
                                                  </w:rPr>
                                                  <w:t>Скопје, Република Македонија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516CE86" w14:textId="77777777" w:rsidR="00E10674" w:rsidRPr="00000399" w:rsidRDefault="00E10674">
                                          <w:pPr>
                                            <w:pStyle w:val="NoSpacing"/>
                                            <w:spacing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</w:p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alias w:val="Date"/>
                                            <w:tag w:val=""/>
                                            <w:id w:val="748164578"/>
                                            <w:placeholder>
                                              <w:docPart w:val="1DDFAA8F825C40D98AB7F36763414211"/>
                                            </w:placeholder>
    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    <w:date>
                                              <w:dateFormat w:val="M/d/yy"/>
                                              <w:lid w:val="en-US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Content>
                                            <w:p w14:paraId="16FDD382" w14:textId="027170E4" w:rsidR="00E10674" w:rsidRPr="00000399" w:rsidRDefault="00E10674" w:rsidP="00000399">
                                              <w:pPr>
                                                <w:pStyle w:val="NoSpacing"/>
                                                <w:spacing w:after="240" w:line="288" w:lineRule="auto"/>
                                                <w:ind w:left="360" w:right="360"/>
                                                <w:jc w:val="center"/>
                                                <w:rPr>
                                                  <w:color w:val="FFFFFF" w:themeColor="background1"/>
                                                  <w:sz w:val="28"/>
                                                  <w:szCs w:val="28"/>
                                                  <w:lang w:val="mk-MK"/>
                                                </w:rPr>
                                              </w:pPr>
                                              <w:r>
                                                <w:rPr>
                                                  <w:color w:val="FFFFFF" w:themeColor="background1"/>
                                                  <w:sz w:val="28"/>
                                                  <w:szCs w:val="28"/>
                                                  <w:lang w:val="mk-MK"/>
                                                </w:rPr>
                                                <w:t>Октомври, 2025</w:t>
                                              </w:r>
                                            </w:p>
                                          </w:sdtContent>
                                        </w:sdt>
                                      </w:tc>
                                    </w:tr>
                                  </w:tbl>
                                  <w:p w14:paraId="1C67C46F" w14:textId="77777777" w:rsidR="00E10674" w:rsidRDefault="00E10674" w:rsidP="00E10674"/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90600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53D0EF6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6" type="#_x0000_t202" alt="Cover page content layout" style="position:absolute;margin-left:0;margin-top:0;width:553.9pt;height:332.25pt;z-index:-251657216;visibility:visible;mso-wrap-style:square;mso-width-percent:906;mso-height-percent:0;mso-top-percent:510;mso-wrap-distance-left:9pt;mso-wrap-distance-top:0;mso-wrap-distance-right:9pt;mso-wrap-distance-bottom:0;mso-position-horizontal:center;mso-position-horizontal-relative:page;mso-position-vertical-relative:page;mso-width-percent:906;mso-height-percent:0;mso-top-percent:51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oiYAIAAC4FAAAOAAAAZHJzL2Uyb0RvYy54bWysVE1v2zAMvQ/YfxB0X+ykTbsFdYqsRYYB&#10;RVssHXpWZCkxJouaxMTOfv0o2U6KbpcOu8i0+Pj1SOrquq0N2ysfKrAFH49yzpSVUFZ2U/DvT8sP&#10;HzkLKGwpDFhV8IMK/Hr+/t1V42ZqAlswpfKMnNgwa1zBt4hulmVBblUtwgicsqTU4GuB9Os3WelF&#10;Q95rk03y/CJrwJfOg1Qh0O1tp+Tz5F9rJfFB66CQmYJTbphOn851PLP5lZhtvHDbSvZpiH/IohaV&#10;paBHV7cCBdv56g9XdSU9BNA4klBnoHUlVaqBqhnnr6pZbYVTqRYiJ7gjTeH/uZX3+5V79Azbz9BS&#10;AyMhjQuzQJexnlb7On4pU0Z6ovBwpE21yCRdXuZn59MzUknSnU/Gn6aX0+gnO5k7H/CLgppFoeCe&#10;+pLoEvu7gB10gMRoFpaVMak3xrKm4Bdn0zwZHDXk3NiIVanLvZtT6knCg1ERY+w3pVlVpgriRZov&#10;dWM82wuaDCGlspiKT34JHVGakniLYY8/ZfUW466OITJYPBrXlQWfqn+VdvljSFl3eOL8Rd1RxHbd&#10;9i1dQ3mgTnvoliA4uayoG3ci4KPwNPXUQdpkfKBDGyDWoZc424L/9bf7iKdhJC1nDW1RwcPPnfCK&#10;M/PV0pjGlRsEPwjrQbC7+gaI/jG9EU4mkQw8mkHUHupnWvBFjEIqYSXFKjgO4g12u0wPhFSLRQLR&#10;YjmBd3blZHQduxFn66l9Ft71A4g0u/cw7JeYvZrDDhstLSx2CLpKQxoJ7VjsiaalTGPePyBx61/+&#10;J9TpmZv/BgAA//8DAFBLAwQUAAYACAAAACEAWsGzHd4AAAAGAQAADwAAAGRycy9kb3ducmV2Lnht&#10;bEyPQUvDQBCF70L/wzIFb3bTWmOJ2ZRQkID2UFsFj5vsmIRmZ0N22sZ/79aLXh4Mb3jve+l6tJ04&#10;4+BbRwrmswgEUuVMS7WC98Pz3QqEZ01Gd45QwTd6WGeTm1Qnxl3oDc97rkUIIZ9oBQ1zn0jpqwat&#10;9jPXIwXvyw1WcziHWppBX0K47eQiimJpdUuhodE9bhqsjvuTVVCUS14UBW3v89Xn6/bjkPe7l1qp&#10;2+mYP4FgHPnvGa74AR2ywFS6ExkvOgVhCP/q1ZtHj2FHqSCOlw8gs1T+x89+AAAA//8DAFBLAQIt&#10;ABQABgAIAAAAIQC2gziS/gAAAOEBAAATAAAAAAAAAAAAAAAAAAAAAABbQ29udGVudF9UeXBlc10u&#10;eG1sUEsBAi0AFAAGAAgAAAAhADj9If/WAAAAlAEAAAsAAAAAAAAAAAAAAAAALwEAAF9yZWxzLy5y&#10;ZWxzUEsBAi0AFAAGAAgAAAAhACVTKiJgAgAALgUAAA4AAAAAAAAAAAAAAAAALgIAAGRycy9lMm9E&#10;b2MueG1sUEsBAi0AFAAGAAgAAAAhAFrBsx3eAAAABgEAAA8AAAAAAAAAAAAAAAAAugQAAGRycy9k&#10;b3ducmV2LnhtbFBLBQYAAAAABAAEAPMAAADFBQAAAAA=&#10;" filled="f" stroked="f" strokeweight=".5pt">
                        <v:textbox inset="0,0,0,0">
                          <w:txbxContent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Cover page info"/>
                              </w:tblPr>
                              <w:tblGrid>
                                <w:gridCol w:w="820"/>
                                <w:gridCol w:w="10263"/>
                              </w:tblGrid>
                              <w:tr w:rsidR="00E10674" w14:paraId="066BD6F1" w14:textId="77777777" w:rsidTr="00D56FD0">
                                <w:trPr>
                                  <w:trHeight w:val="2376"/>
                                </w:trPr>
                                <w:tc>
                                  <w:tcPr>
                                    <w:tcW w:w="370" w:type="pct"/>
                                    <w:shd w:val="clear" w:color="auto" w:fill="FAE2D5" w:themeFill="accent2" w:themeFillTint="33"/>
                                  </w:tcPr>
                                  <w:p w14:paraId="7F2264EE" w14:textId="77777777" w:rsidR="00E10674" w:rsidRDefault="00E10674"/>
                                </w:tc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72"/>
                                      <w:szCs w:val="72"/>
                                      <w:lang w:val="mk-MK"/>
                                    </w:rPr>
                                    <w:alias w:val="Title"/>
                                    <w:tag w:val=""/>
                                    <w:id w:val="739824258"/>
                                    <w:placeholder>
                                      <w:docPart w:val="1776BBAA0A8D419385A2C39F9670C7B1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tc>
                                      <w:tcPr>
                                        <w:tcW w:w="4630" w:type="pct"/>
                                        <w:shd w:val="clear" w:color="auto" w:fill="7F7F7F" w:themeFill="text1" w:themeFillTint="80"/>
                                      </w:tcPr>
                                      <w:p w14:paraId="6586FB84" w14:textId="7EA314AD" w:rsidR="00E10674" w:rsidRPr="00000399" w:rsidRDefault="00E10674" w:rsidP="00000399">
                                        <w:pPr>
                                          <w:pStyle w:val="NoSpacing"/>
                                          <w:spacing w:before="240" w:line="216" w:lineRule="auto"/>
                                          <w:ind w:left="360" w:right="360"/>
                                          <w:contextualSpacing/>
                                          <w:jc w:val="center"/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96"/>
                                            <w:szCs w:val="96"/>
                                            <w:lang w:val="mk-MK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72"/>
                                            <w:szCs w:val="72"/>
                                            <w:lang w:val="mk-MK"/>
                                          </w:rPr>
                                          <w:t xml:space="preserve">Методологија за евалуација (рубрика за бодување,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72"/>
                                            <w:szCs w:val="72"/>
                                            <w:lang w:val="mk-MK"/>
                                          </w:rPr>
                                          <w:t>пондери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72"/>
                                            <w:szCs w:val="72"/>
                                            <w:lang w:val="mk-MK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E10674" w14:paraId="5B299844" w14:textId="77777777" w:rsidTr="00D56FD0">
                                <w:trPr>
                                  <w:trHeight w:hRule="exact" w:val="648"/>
                                </w:trPr>
                                <w:tc>
                                  <w:tcPr>
                                    <w:tcW w:w="370" w:type="pct"/>
                                    <w:shd w:val="clear" w:color="auto" w:fill="FAE2D5" w:themeFill="accent2" w:themeFillTint="33"/>
                                  </w:tcPr>
                                  <w:p w14:paraId="722182CF" w14:textId="77777777" w:rsidR="00E10674" w:rsidRDefault="00E10674"/>
                                </w:tc>
                                <w:tc>
                                  <w:tcPr>
                                    <w:tcW w:w="4630" w:type="pct"/>
                                    <w:shd w:val="clear" w:color="auto" w:fill="7F7F7F" w:themeFill="text1" w:themeFillTint="80"/>
                                    <w:vAlign w:val="bottom"/>
                                  </w:tcPr>
                                  <w:p w14:paraId="0AA4464C" w14:textId="77777777" w:rsidR="00E10674" w:rsidRPr="00000399" w:rsidRDefault="00E10674">
                                    <w:pPr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:lang w:val="mk-MK"/>
                                      </w:rPr>
                                    </w:pPr>
                                  </w:p>
                                </w:tc>
                              </w:tr>
                              <w:tr w:rsidR="00E10674" w14:paraId="22A7DA20" w14:textId="77777777" w:rsidTr="00D56FD0">
                                <w:trPr>
                                  <w:trHeight w:val="2688"/>
                                </w:trPr>
                                <w:tc>
                                  <w:tcPr>
                                    <w:tcW w:w="370" w:type="pct"/>
                                    <w:shd w:val="clear" w:color="auto" w:fill="FAE2D5" w:themeFill="accent2" w:themeFillTint="33"/>
                                  </w:tcPr>
                                  <w:p w14:paraId="65C34D8E" w14:textId="77777777" w:rsidR="00E10674" w:rsidRDefault="00E10674"/>
                                </w:tc>
                                <w:tc>
                                  <w:tcPr>
                                    <w:tcW w:w="4630" w:type="pct"/>
                                    <w:shd w:val="clear" w:color="auto" w:fill="7F7F7F" w:themeFill="text1" w:themeFillTint="80"/>
                                    <w:vAlign w:val="bottom"/>
                                  </w:tcPr>
                                  <w:p w14:paraId="10832D29" w14:textId="77777777" w:rsidR="00E10674" w:rsidRPr="00000399" w:rsidRDefault="00E10674">
                                    <w:pPr>
                                      <w:pStyle w:val="NoSpacing"/>
                                      <w:spacing w:line="288" w:lineRule="auto"/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:lang w:val="mk-MK"/>
                                      </w:rPr>
                                    </w:pP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Ind w:w="360" w:type="dxa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16"/>
                                      <w:gridCol w:w="4963"/>
                                    </w:tblGrid>
                                    <w:tr w:rsidR="00E10674" w:rsidRPr="0066017E" w14:paraId="10310EF0" w14:textId="77777777" w:rsidTr="00A34859">
                                      <w:tc>
                                        <w:tcPr>
                                          <w:tcW w:w="4916" w:type="dxa"/>
                                        </w:tcPr>
                                        <w:p w14:paraId="136838F1" w14:textId="77777777" w:rsidR="00E10674" w:rsidRDefault="00E10674">
                                          <w:pPr>
                                            <w:pStyle w:val="NoSpacing"/>
                                            <w:spacing w:line="288" w:lineRule="auto"/>
                                            <w:ind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  <w:r w:rsidRPr="00A34859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t xml:space="preserve">Подготвено од: </w:t>
                                          </w:r>
                                        </w:p>
                                        <w:p w14:paraId="205D2E20" w14:textId="77777777" w:rsidR="00E10674" w:rsidRDefault="00E10674">
                                          <w:pPr>
                                            <w:pStyle w:val="NoSpacing"/>
                                            <w:spacing w:line="288" w:lineRule="auto"/>
                                            <w:ind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  <w:r w:rsidRPr="00A34859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t>Петровска Ана Марија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963" w:type="dxa"/>
                                        </w:tcPr>
                                        <w:p w14:paraId="31BF3A6C" w14:textId="515D3B3D" w:rsidR="00E10674" w:rsidRDefault="00E10674" w:rsidP="00A34859">
                                          <w:pPr>
                                            <w:pStyle w:val="NoSpacing"/>
                                            <w:spacing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  <w:r w:rsidRPr="00A34859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t>Подготвено за: Министерство за Локална Самоуправа (МЛС)</w:t>
                                          </w:r>
                                          <w: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t xml:space="preserve"> </w:t>
                                          </w:r>
                                          <w:r w:rsidRPr="00A34859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  <w:t>Скопје, Република Македонија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16CE86" w14:textId="77777777" w:rsidR="00E10674" w:rsidRPr="00000399" w:rsidRDefault="00E10674">
                                    <w:pPr>
                                      <w:pStyle w:val="NoSpacing"/>
                                      <w:spacing w:line="288" w:lineRule="auto"/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:lang w:val="mk-MK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:lang w:val="mk-MK"/>
                                      </w:rPr>
                                      <w:alias w:val="Date"/>
                                      <w:tag w:val=""/>
                                      <w:id w:val="748164578"/>
                                      <w:placeholder>
                                        <w:docPart w:val="1DDFAA8F825C40D98AB7F36763414211"/>
                                      </w:placeholder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date>
                                        <w:dateFormat w:val="M/d/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14:paraId="16FDD382" w14:textId="027170E4" w:rsidR="00E10674" w:rsidRPr="00000399" w:rsidRDefault="00E10674" w:rsidP="00000399">
                                        <w:pPr>
                                          <w:pStyle w:val="NoSpacing"/>
                                          <w:spacing w:after="240" w:line="288" w:lineRule="auto"/>
                                          <w:ind w:left="360" w:right="360"/>
                                          <w:jc w:val="center"/>
                                          <w:rPr>
                                            <w:color w:val="FFFFFF" w:themeColor="background1"/>
                                            <w:sz w:val="28"/>
                                            <w:szCs w:val="28"/>
                                            <w:lang w:val="mk-MK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28"/>
                                            <w:szCs w:val="28"/>
                                            <w:lang w:val="mk-MK"/>
                                          </w:rPr>
                                          <w:t>Октомври, 2025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14:paraId="1C67C46F" w14:textId="77777777" w:rsidR="00E10674" w:rsidRDefault="00E10674" w:rsidP="00E10674"/>
                          </w:txbxContent>
                        </v:textbox>
                        <w10:wrap anchorx="page" anchory="page"/>
                      </v:shape>
                    </w:pict>
                  </mc:Fallback>
                </mc:AlternateContent>
              </w:r>
              <w:r>
                <w:br w:type="page"/>
              </w:r>
            </w:p>
          </w:sdtContent>
        </w:sdt>
        <w:p w14:paraId="0AC3FF80" w14:textId="69E6D56B" w:rsidR="00382310" w:rsidRDefault="00000000" w:rsidP="00E10674"/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72611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FBC50A" w14:textId="0D3602D9" w:rsidR="00382310" w:rsidRPr="00382310" w:rsidRDefault="00382310">
          <w:pPr>
            <w:pStyle w:val="TOCHeading"/>
            <w:rPr>
              <w:lang w:val="mk-MK"/>
            </w:rPr>
          </w:pPr>
          <w:r>
            <w:rPr>
              <w:lang w:val="mk-MK"/>
            </w:rPr>
            <w:t>Содржина</w:t>
          </w:r>
        </w:p>
        <w:p w14:paraId="542DE20A" w14:textId="370E6D33" w:rsidR="0066017E" w:rsidRDefault="0038231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78916" w:history="1">
            <w:r w:rsidR="0066017E" w:rsidRPr="000A26B6">
              <w:rPr>
                <w:rStyle w:val="Hyperlink"/>
                <w:noProof/>
                <w:lang w:val="mk-MK"/>
              </w:rPr>
              <w:t>Вовед</w:t>
            </w:r>
            <w:r w:rsidR="0066017E">
              <w:rPr>
                <w:noProof/>
                <w:webHidden/>
              </w:rPr>
              <w:tab/>
            </w:r>
            <w:r w:rsidR="0066017E">
              <w:rPr>
                <w:noProof/>
                <w:webHidden/>
              </w:rPr>
              <w:fldChar w:fldCharType="begin"/>
            </w:r>
            <w:r w:rsidR="0066017E">
              <w:rPr>
                <w:noProof/>
                <w:webHidden/>
              </w:rPr>
              <w:instrText xml:space="preserve"> PAGEREF _Toc216778916 \h </w:instrText>
            </w:r>
            <w:r w:rsidR="0066017E">
              <w:rPr>
                <w:noProof/>
                <w:webHidden/>
              </w:rPr>
            </w:r>
            <w:r w:rsidR="0066017E">
              <w:rPr>
                <w:noProof/>
                <w:webHidden/>
              </w:rPr>
              <w:fldChar w:fldCharType="separate"/>
            </w:r>
            <w:r w:rsidR="0066017E">
              <w:rPr>
                <w:noProof/>
                <w:webHidden/>
              </w:rPr>
              <w:t>2</w:t>
            </w:r>
            <w:r w:rsidR="0066017E">
              <w:rPr>
                <w:noProof/>
                <w:webHidden/>
              </w:rPr>
              <w:fldChar w:fldCharType="end"/>
            </w:r>
          </w:hyperlink>
        </w:p>
        <w:p w14:paraId="7F457903" w14:textId="308BBD22" w:rsidR="0066017E" w:rsidRDefault="006601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6778917" w:history="1">
            <w:r w:rsidRPr="000A26B6">
              <w:rPr>
                <w:rStyle w:val="Hyperlink"/>
                <w:noProof/>
                <w:lang w:val="mk-MK"/>
              </w:rPr>
              <w:t>Систем за бодување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07110" w14:textId="6186E95B" w:rsidR="0066017E" w:rsidRDefault="0066017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6778918" w:history="1">
            <w:r w:rsidRPr="000A26B6">
              <w:rPr>
                <w:rStyle w:val="Hyperlink"/>
                <w:noProof/>
                <w:lang w:val="mk-MK"/>
              </w:rPr>
              <w:t>Методологија на бодување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E27C9" w14:textId="69921EE9" w:rsidR="0066017E" w:rsidRDefault="006601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6778919" w:history="1">
            <w:r w:rsidRPr="000A26B6">
              <w:rPr>
                <w:rStyle w:val="Hyperlink"/>
                <w:noProof/>
                <w:lang w:val="mk-MK"/>
              </w:rPr>
              <w:t>Механизам за разрешување н</w:t>
            </w:r>
            <w:r w:rsidRPr="000A26B6">
              <w:rPr>
                <w:rStyle w:val="Hyperlink"/>
                <w:noProof/>
                <w:lang w:val="mk-MK"/>
              </w:rPr>
              <w:t>а</w:t>
            </w:r>
            <w:r w:rsidRPr="000A26B6">
              <w:rPr>
                <w:rStyle w:val="Hyperlink"/>
                <w:noProof/>
                <w:lang w:val="mk-MK"/>
              </w:rPr>
              <w:t xml:space="preserve"> изедначени резултати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933F7" w14:textId="3A59D2BC" w:rsidR="0066017E" w:rsidRDefault="006601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6778920" w:history="1">
            <w:r w:rsidRPr="000A26B6">
              <w:rPr>
                <w:rStyle w:val="Hyperlink"/>
                <w:noProof/>
                <w:lang w:val="mk-MK"/>
              </w:rPr>
              <w:t>Процес на одлучување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_Toc216778920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2F171" w14:textId="679B84F0" w:rsidR="00382310" w:rsidRDefault="00382310">
          <w:r>
            <w:rPr>
              <w:b/>
              <w:bCs/>
              <w:noProof/>
            </w:rPr>
            <w:fldChar w:fldCharType="end"/>
          </w:r>
        </w:p>
      </w:sdtContent>
    </w:sdt>
    <w:p w14:paraId="4D26211D" w14:textId="77777777" w:rsidR="00830508" w:rsidRDefault="00830508">
      <w:pPr>
        <w:rPr>
          <w:lang w:val="mk-MK"/>
        </w:rPr>
      </w:pPr>
    </w:p>
    <w:p w14:paraId="35A88E66" w14:textId="77777777" w:rsidR="00382310" w:rsidRDefault="00382310">
      <w:pPr>
        <w:rPr>
          <w:lang w:val="mk-MK"/>
        </w:rPr>
      </w:pPr>
    </w:p>
    <w:p w14:paraId="4A5C68AC" w14:textId="77777777" w:rsidR="00382310" w:rsidRDefault="00382310">
      <w:pPr>
        <w:rPr>
          <w:lang w:val="mk-MK"/>
        </w:rPr>
      </w:pPr>
    </w:p>
    <w:p w14:paraId="4BE5EF27" w14:textId="77777777" w:rsidR="00382310" w:rsidRDefault="00382310">
      <w:pPr>
        <w:rPr>
          <w:lang w:val="mk-MK"/>
        </w:rPr>
      </w:pPr>
    </w:p>
    <w:p w14:paraId="48F3CAB9" w14:textId="77777777" w:rsidR="00382310" w:rsidRDefault="00382310">
      <w:pPr>
        <w:rPr>
          <w:lang w:val="mk-MK"/>
        </w:rPr>
      </w:pPr>
    </w:p>
    <w:p w14:paraId="46B98B60" w14:textId="77777777" w:rsidR="00382310" w:rsidRDefault="00382310">
      <w:pPr>
        <w:rPr>
          <w:lang w:val="mk-MK"/>
        </w:rPr>
      </w:pPr>
    </w:p>
    <w:p w14:paraId="715191F5" w14:textId="77777777" w:rsidR="00382310" w:rsidRDefault="00382310">
      <w:pPr>
        <w:rPr>
          <w:lang w:val="mk-MK"/>
        </w:rPr>
      </w:pPr>
    </w:p>
    <w:p w14:paraId="7A4342B3" w14:textId="77777777" w:rsidR="00382310" w:rsidRDefault="00382310">
      <w:pPr>
        <w:rPr>
          <w:lang w:val="mk-MK"/>
        </w:rPr>
      </w:pPr>
    </w:p>
    <w:p w14:paraId="34570684" w14:textId="77777777" w:rsidR="00382310" w:rsidRDefault="00382310">
      <w:pPr>
        <w:rPr>
          <w:lang w:val="mk-MK"/>
        </w:rPr>
      </w:pPr>
    </w:p>
    <w:p w14:paraId="6A8F673F" w14:textId="77777777" w:rsidR="00382310" w:rsidRDefault="00382310">
      <w:pPr>
        <w:rPr>
          <w:lang w:val="mk-MK"/>
        </w:rPr>
      </w:pPr>
    </w:p>
    <w:p w14:paraId="3569ACE8" w14:textId="77777777" w:rsidR="00382310" w:rsidRDefault="00382310">
      <w:pPr>
        <w:rPr>
          <w:lang w:val="mk-MK"/>
        </w:rPr>
      </w:pPr>
    </w:p>
    <w:p w14:paraId="176F67DF" w14:textId="77777777" w:rsidR="00382310" w:rsidRDefault="00382310">
      <w:pPr>
        <w:rPr>
          <w:lang w:val="mk-MK"/>
        </w:rPr>
      </w:pPr>
    </w:p>
    <w:p w14:paraId="009464F2" w14:textId="77777777" w:rsidR="00382310" w:rsidRDefault="00382310">
      <w:pPr>
        <w:rPr>
          <w:lang w:val="mk-MK"/>
        </w:rPr>
      </w:pPr>
    </w:p>
    <w:p w14:paraId="4E0AEB51" w14:textId="77777777" w:rsidR="00382310" w:rsidRDefault="00382310">
      <w:pPr>
        <w:rPr>
          <w:lang w:val="mk-MK"/>
        </w:rPr>
      </w:pPr>
    </w:p>
    <w:p w14:paraId="2F54EAFB" w14:textId="77777777" w:rsidR="00382310" w:rsidRDefault="00382310">
      <w:pPr>
        <w:rPr>
          <w:lang w:val="mk-MK"/>
        </w:rPr>
      </w:pPr>
    </w:p>
    <w:p w14:paraId="27040270" w14:textId="77777777" w:rsidR="00382310" w:rsidRDefault="00382310">
      <w:pPr>
        <w:rPr>
          <w:lang w:val="mk-MK"/>
        </w:rPr>
      </w:pPr>
    </w:p>
    <w:p w14:paraId="68037D54" w14:textId="77777777" w:rsidR="00382310" w:rsidRDefault="00382310">
      <w:pPr>
        <w:rPr>
          <w:lang w:val="mk-MK"/>
        </w:rPr>
      </w:pPr>
    </w:p>
    <w:p w14:paraId="3811646D" w14:textId="77777777" w:rsidR="00382310" w:rsidRDefault="00382310">
      <w:pPr>
        <w:rPr>
          <w:lang w:val="mk-MK"/>
        </w:rPr>
      </w:pPr>
    </w:p>
    <w:p w14:paraId="7EA0D87F" w14:textId="77777777" w:rsidR="00382310" w:rsidRDefault="00382310">
      <w:pPr>
        <w:rPr>
          <w:lang w:val="mk-MK"/>
        </w:rPr>
      </w:pPr>
    </w:p>
    <w:p w14:paraId="4D6D3A06" w14:textId="6CA605BE" w:rsidR="00382310" w:rsidRDefault="00382310" w:rsidP="00382310">
      <w:pPr>
        <w:pStyle w:val="Heading1"/>
        <w:rPr>
          <w:lang w:val="mk-MK"/>
        </w:rPr>
      </w:pPr>
      <w:bookmarkStart w:id="0" w:name="_Toc216778916"/>
      <w:r>
        <w:rPr>
          <w:lang w:val="mk-MK"/>
        </w:rPr>
        <w:t>Вовед</w:t>
      </w:r>
      <w:bookmarkEnd w:id="0"/>
    </w:p>
    <w:p w14:paraId="2DB6628D" w14:textId="719367FE" w:rsidR="00382310" w:rsidRPr="000530AA" w:rsidRDefault="00382310" w:rsidP="000530AA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382310">
        <w:rPr>
          <w:rFonts w:ascii="Calibri" w:hAnsi="Calibri" w:cs="Calibri"/>
          <w:sz w:val="22"/>
          <w:szCs w:val="22"/>
          <w:lang w:val="mk-MK"/>
        </w:rPr>
        <w:t xml:space="preserve">Методологијата за евалуација претставува клучен инструмент за обезбедување на објективност, доследност и транспарентност во процесот на селекција на општините. </w:t>
      </w:r>
      <w:r w:rsidR="000530AA" w:rsidRPr="000530AA">
        <w:rPr>
          <w:rFonts w:ascii="Calibri" w:hAnsi="Calibri" w:cs="Calibri"/>
          <w:sz w:val="22"/>
          <w:szCs w:val="22"/>
          <w:lang w:val="mk-MK"/>
        </w:rPr>
        <w:t>Со неа се воспоставува јасна рамка за мерење и споредување на податоците добиени од апликациите, преку јасно дефинирани категории и бодови по критериум.</w:t>
      </w:r>
    </w:p>
    <w:p w14:paraId="685FF9D3" w14:textId="77777777" w:rsidR="000530AA" w:rsidRDefault="00382310" w:rsidP="00382310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382310">
        <w:rPr>
          <w:rFonts w:ascii="Calibri" w:hAnsi="Calibri" w:cs="Calibri"/>
          <w:sz w:val="22"/>
          <w:szCs w:val="22"/>
          <w:lang w:val="mk-MK"/>
        </w:rPr>
        <w:t>Основната цел на оваа методологија е да овозможи фер и мерлива проценка на развојните потреби, демографските и социјалните карактеристики, како и институционалните и човечките капацитети на секоја општина.</w:t>
      </w:r>
    </w:p>
    <w:p w14:paraId="48EF83E7" w14:textId="44FFF582" w:rsidR="00382310" w:rsidRPr="00382310" w:rsidRDefault="00382310" w:rsidP="00382310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382310">
        <w:rPr>
          <w:rFonts w:ascii="Calibri" w:hAnsi="Calibri" w:cs="Calibri"/>
          <w:sz w:val="22"/>
          <w:szCs w:val="22"/>
          <w:lang w:val="mk-MK"/>
        </w:rPr>
        <w:t xml:space="preserve">Секој критериум е дефиниран со конкретни индикатори и начин на бодување, што овозможува резултатите да бидат проверливи, </w:t>
      </w:r>
      <w:r>
        <w:rPr>
          <w:rFonts w:ascii="Calibri" w:hAnsi="Calibri" w:cs="Calibri"/>
          <w:sz w:val="22"/>
          <w:szCs w:val="22"/>
          <w:lang w:val="mk-MK"/>
        </w:rPr>
        <w:t>мерливи</w:t>
      </w:r>
      <w:r w:rsidRPr="00382310">
        <w:rPr>
          <w:rFonts w:ascii="Calibri" w:hAnsi="Calibri" w:cs="Calibri"/>
          <w:sz w:val="22"/>
          <w:szCs w:val="22"/>
          <w:lang w:val="mk-MK"/>
        </w:rPr>
        <w:t xml:space="preserve"> и применливи при идни циклуси на селекција.</w:t>
      </w:r>
    </w:p>
    <w:p w14:paraId="39EB5E7B" w14:textId="3BE1F709" w:rsidR="00382310" w:rsidRPr="00382310" w:rsidRDefault="00382310" w:rsidP="00382310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382310">
        <w:rPr>
          <w:rFonts w:ascii="Calibri" w:hAnsi="Calibri" w:cs="Calibri"/>
          <w:sz w:val="22"/>
          <w:szCs w:val="22"/>
          <w:lang w:val="mk-MK"/>
        </w:rPr>
        <w:t xml:space="preserve">Системот е дизајниран да обезбеди рамнотежа меѓу потребите и капацитетите, со цел да се насочи поддршката кон општини кои имаат реален потенцијал за спроведување на </w:t>
      </w:r>
      <w:r w:rsidR="000530AA">
        <w:rPr>
          <w:rFonts w:ascii="Calibri" w:hAnsi="Calibri" w:cs="Calibri"/>
          <w:sz w:val="22"/>
          <w:szCs w:val="22"/>
          <w:lang w:val="mk-MK"/>
        </w:rPr>
        <w:t xml:space="preserve">разновидни </w:t>
      </w:r>
      <w:r w:rsidRPr="00382310">
        <w:rPr>
          <w:rFonts w:ascii="Calibri" w:hAnsi="Calibri" w:cs="Calibri"/>
          <w:sz w:val="22"/>
          <w:szCs w:val="22"/>
          <w:lang w:val="mk-MK"/>
        </w:rPr>
        <w:t>иницијативи во согласност со националните и регионалните приоритети.</w:t>
      </w:r>
    </w:p>
    <w:p w14:paraId="2EDEB43E" w14:textId="56B734B0" w:rsidR="00382310" w:rsidRPr="00A17A05" w:rsidRDefault="00382310" w:rsidP="00382310">
      <w:pPr>
        <w:pStyle w:val="Heading1"/>
        <w:rPr>
          <w:lang w:val="mk-MK"/>
        </w:rPr>
      </w:pPr>
      <w:bookmarkStart w:id="1" w:name="_Toc216778917"/>
      <w:r>
        <w:rPr>
          <w:lang w:val="mk-MK"/>
        </w:rPr>
        <w:t>Систем за бодување</w:t>
      </w:r>
      <w:bookmarkEnd w:id="1"/>
    </w:p>
    <w:p w14:paraId="57481BEE" w14:textId="77777777" w:rsidR="005450C4" w:rsidRPr="005450C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Системот за бодирање претставува објективен и транспарентен инструмент за оценување на општините според однапред утврдени критериуми и индикатори.</w:t>
      </w:r>
    </w:p>
    <w:p w14:paraId="30B56A51" w14:textId="4DC27783" w:rsidR="00382310" w:rsidRPr="00515FE4" w:rsidRDefault="00382310" w:rsidP="005450C4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 xml:space="preserve">Неговата цел е да обезбеди </w:t>
      </w:r>
      <w:r w:rsidR="000530AA">
        <w:rPr>
          <w:rFonts w:ascii="Calibri" w:hAnsi="Calibri" w:cs="Calibri"/>
          <w:sz w:val="22"/>
          <w:szCs w:val="22"/>
          <w:lang w:val="mk-MK"/>
        </w:rPr>
        <w:t>транспарентна</w:t>
      </w:r>
      <w:r w:rsidRPr="00515FE4">
        <w:rPr>
          <w:rFonts w:ascii="Calibri" w:hAnsi="Calibri" w:cs="Calibri"/>
          <w:sz w:val="22"/>
          <w:szCs w:val="22"/>
          <w:lang w:val="mk-MK"/>
        </w:rPr>
        <w:t>, доследна и мерлива селекција</w:t>
      </w:r>
      <w:r w:rsidR="005450C4" w:rsidRPr="005450C4">
        <w:rPr>
          <w:rFonts w:ascii="Calibri" w:hAnsi="Calibri" w:cs="Calibri"/>
          <w:sz w:val="22"/>
          <w:szCs w:val="22"/>
          <w:lang w:val="mk-MK"/>
        </w:rPr>
        <w:t xml:space="preserve"> </w:t>
      </w:r>
      <w:r w:rsidR="005450C4">
        <w:rPr>
          <w:rFonts w:ascii="Calibri" w:hAnsi="Calibri" w:cs="Calibri"/>
          <w:sz w:val="22"/>
          <w:szCs w:val="22"/>
          <w:lang w:val="mk-MK"/>
        </w:rPr>
        <w:t xml:space="preserve">во услови на </w:t>
      </w:r>
      <w:r w:rsidR="005450C4" w:rsidRPr="005450C4">
        <w:rPr>
          <w:rFonts w:ascii="Calibri" w:hAnsi="Calibri" w:cs="Calibri"/>
          <w:sz w:val="22"/>
          <w:szCs w:val="22"/>
          <w:lang w:val="mk-MK"/>
        </w:rPr>
        <w:t>голем број пристигнати барања и ограничен капацитет на Ресурсниот центар во одреден временски период,</w:t>
      </w:r>
      <w:r w:rsidRPr="00515FE4">
        <w:rPr>
          <w:rFonts w:ascii="Calibri" w:hAnsi="Calibri" w:cs="Calibri"/>
          <w:sz w:val="22"/>
          <w:szCs w:val="22"/>
          <w:lang w:val="mk-MK"/>
        </w:rPr>
        <w:t xml:space="preserve"> која ќе ги одрази реалните потреби, институционалните капацитети и усогласеноста со националните и регионалните приоритети.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075"/>
        <w:gridCol w:w="2906"/>
        <w:gridCol w:w="2839"/>
        <w:gridCol w:w="1540"/>
      </w:tblGrid>
      <w:tr w:rsidR="00382310" w:rsidRPr="00515FE4" w14:paraId="2999917E" w14:textId="77777777" w:rsidTr="000C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DADAD" w:themeFill="background2" w:themeFillShade="BF"/>
            <w:noWrap/>
            <w:hideMark/>
          </w:tcPr>
          <w:p w14:paraId="3ABC7D51" w14:textId="77777777" w:rsidR="00382310" w:rsidRPr="00515FE4" w:rsidRDefault="00382310" w:rsidP="00865A3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  <w:t>Критериум</w:t>
            </w:r>
          </w:p>
        </w:tc>
        <w:tc>
          <w:tcPr>
            <w:tcW w:w="0" w:type="auto"/>
            <w:shd w:val="clear" w:color="auto" w:fill="ADADAD" w:themeFill="background2" w:themeFillShade="BF"/>
            <w:noWrap/>
            <w:hideMark/>
          </w:tcPr>
          <w:p w14:paraId="6C2068BC" w14:textId="77777777" w:rsidR="00382310" w:rsidRPr="00515FE4" w:rsidRDefault="00382310" w:rsidP="00865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  <w:t>Прашања / Индикатори</w:t>
            </w:r>
          </w:p>
        </w:tc>
        <w:tc>
          <w:tcPr>
            <w:tcW w:w="0" w:type="auto"/>
            <w:shd w:val="clear" w:color="auto" w:fill="ADADAD" w:themeFill="background2" w:themeFillShade="BF"/>
            <w:noWrap/>
            <w:hideMark/>
          </w:tcPr>
          <w:p w14:paraId="325EEC1C" w14:textId="77777777" w:rsidR="00382310" w:rsidRPr="00515FE4" w:rsidRDefault="00382310" w:rsidP="00865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  <w:t>Начин на бодување</w:t>
            </w:r>
          </w:p>
        </w:tc>
        <w:tc>
          <w:tcPr>
            <w:tcW w:w="0" w:type="auto"/>
            <w:shd w:val="clear" w:color="auto" w:fill="ADADAD" w:themeFill="background2" w:themeFillShade="BF"/>
            <w:noWrap/>
            <w:hideMark/>
          </w:tcPr>
          <w:p w14:paraId="7E94B2BA" w14:textId="77777777" w:rsidR="00382310" w:rsidRPr="00515FE4" w:rsidRDefault="00382310" w:rsidP="00865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</w:pPr>
            <w:proofErr w:type="spellStart"/>
            <w:r w:rsidRPr="00515FE4"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  <w:t>Макс</w:t>
            </w:r>
            <w:proofErr w:type="spellEnd"/>
            <w:r w:rsidRPr="00515FE4">
              <w:rPr>
                <w:rFonts w:ascii="Calibri" w:eastAsia="Times New Roman" w:hAnsi="Calibri" w:cs="Calibri"/>
                <w:kern w:val="0"/>
                <w:sz w:val="22"/>
                <w:szCs w:val="22"/>
                <w:lang w:val="mk-MK"/>
                <w14:ligatures w14:val="none"/>
              </w:rPr>
              <w:t>. бодови</w:t>
            </w:r>
          </w:p>
        </w:tc>
      </w:tr>
      <w:tr w:rsidR="00382310" w:rsidRPr="00515FE4" w14:paraId="3AA88369" w14:textId="77777777" w:rsidTr="0086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36F556F" w14:textId="77777777" w:rsidR="00382310" w:rsidRPr="00515FE4" w:rsidRDefault="00382310" w:rsidP="00865A3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Развојни потреби</w:t>
            </w:r>
          </w:p>
        </w:tc>
        <w:tc>
          <w:tcPr>
            <w:tcW w:w="0" w:type="auto"/>
            <w:hideMark/>
          </w:tcPr>
          <w:p w14:paraId="612D41D0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Регион</w:t>
            </w:r>
          </w:p>
        </w:tc>
        <w:tc>
          <w:tcPr>
            <w:tcW w:w="0" w:type="auto"/>
            <w:hideMark/>
          </w:tcPr>
          <w:p w14:paraId="2042B523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Вардарски=5; Североисточен=5; Источен=4; Пелагониски=4; Југозападен=3; Југоисточен=3; Полошки=2; Скопски=1</w:t>
            </w:r>
          </w:p>
        </w:tc>
        <w:tc>
          <w:tcPr>
            <w:tcW w:w="0" w:type="auto"/>
            <w:noWrap/>
            <w:hideMark/>
          </w:tcPr>
          <w:p w14:paraId="3A2BBAC2" w14:textId="77777777" w:rsidR="00382310" w:rsidRPr="00515FE4" w:rsidRDefault="00382310" w:rsidP="00865A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7D9A9185" w14:textId="77777777" w:rsidTr="00865A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DC6324D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4A809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Тип на општина</w:t>
            </w:r>
          </w:p>
        </w:tc>
        <w:tc>
          <w:tcPr>
            <w:tcW w:w="0" w:type="auto"/>
            <w:hideMark/>
          </w:tcPr>
          <w:p w14:paraId="672F490B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Рурална=5; Урбана=1</w:t>
            </w:r>
          </w:p>
        </w:tc>
        <w:tc>
          <w:tcPr>
            <w:tcW w:w="0" w:type="auto"/>
            <w:noWrap/>
            <w:hideMark/>
          </w:tcPr>
          <w:p w14:paraId="1C121ACB" w14:textId="77777777" w:rsidR="00382310" w:rsidRPr="00515FE4" w:rsidRDefault="00382310" w:rsidP="00865A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7E09EEE0" w14:textId="77777777" w:rsidTr="0086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DCD88DD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84F57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% од трансфери во вкупни приходи</w:t>
            </w:r>
          </w:p>
        </w:tc>
        <w:tc>
          <w:tcPr>
            <w:tcW w:w="0" w:type="auto"/>
            <w:hideMark/>
          </w:tcPr>
          <w:p w14:paraId="76D89A43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&gt;70%=5; 61–70%=4; 51–60%=3; 41–50%=2; ≤50%=1</w:t>
            </w:r>
          </w:p>
        </w:tc>
        <w:tc>
          <w:tcPr>
            <w:tcW w:w="0" w:type="auto"/>
            <w:noWrap/>
            <w:hideMark/>
          </w:tcPr>
          <w:p w14:paraId="6EA2FE7D" w14:textId="77777777" w:rsidR="00382310" w:rsidRPr="00515FE4" w:rsidRDefault="00382310" w:rsidP="00865A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31949051" w14:textId="77777777" w:rsidTr="00865A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E1E161D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3316C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Реализација на буџет претходна година</w:t>
            </w:r>
          </w:p>
        </w:tc>
        <w:tc>
          <w:tcPr>
            <w:tcW w:w="0" w:type="auto"/>
            <w:hideMark/>
          </w:tcPr>
          <w:p w14:paraId="03CBE2BE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&lt;70%=5; 70–85%=3; &gt;85%=1</w:t>
            </w:r>
          </w:p>
        </w:tc>
        <w:tc>
          <w:tcPr>
            <w:tcW w:w="0" w:type="auto"/>
            <w:noWrap/>
            <w:hideMark/>
          </w:tcPr>
          <w:p w14:paraId="3FC632B8" w14:textId="77777777" w:rsidR="00382310" w:rsidRPr="00515FE4" w:rsidRDefault="00382310" w:rsidP="00865A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3291C1F8" w14:textId="77777777" w:rsidTr="0086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B71343E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DE692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Блокирана сметка</w:t>
            </w:r>
          </w:p>
        </w:tc>
        <w:tc>
          <w:tcPr>
            <w:tcW w:w="0" w:type="auto"/>
            <w:hideMark/>
          </w:tcPr>
          <w:p w14:paraId="31B343C9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Да=5, Не=1</w:t>
            </w:r>
          </w:p>
        </w:tc>
        <w:tc>
          <w:tcPr>
            <w:tcW w:w="0" w:type="auto"/>
            <w:noWrap/>
            <w:hideMark/>
          </w:tcPr>
          <w:p w14:paraId="453C3A34" w14:textId="77777777" w:rsidR="00382310" w:rsidRPr="00515FE4" w:rsidRDefault="00382310" w:rsidP="00865A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4A78A82B" w14:textId="77777777" w:rsidTr="00865A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CCB2236" w14:textId="77777777" w:rsidR="00382310" w:rsidRPr="00515FE4" w:rsidRDefault="00382310" w:rsidP="00865A3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lastRenderedPageBreak/>
              <w:t>Демографски и социјални аспекти</w:t>
            </w:r>
          </w:p>
        </w:tc>
        <w:tc>
          <w:tcPr>
            <w:tcW w:w="0" w:type="auto"/>
            <w:hideMark/>
          </w:tcPr>
          <w:p w14:paraId="37EC204C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Структурата на населението по етничка разновидност и инклузивност</w:t>
            </w:r>
          </w:p>
        </w:tc>
        <w:tc>
          <w:tcPr>
            <w:tcW w:w="0" w:type="auto"/>
            <w:hideMark/>
          </w:tcPr>
          <w:p w14:paraId="789FE3AA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&gt;21%=5; 16–20%=4; 11–15%=3; 6–10%=2; 0–5%=1</w:t>
            </w:r>
          </w:p>
        </w:tc>
        <w:tc>
          <w:tcPr>
            <w:tcW w:w="0" w:type="auto"/>
            <w:noWrap/>
            <w:hideMark/>
          </w:tcPr>
          <w:p w14:paraId="28EDEBB8" w14:textId="77777777" w:rsidR="00382310" w:rsidRPr="00515FE4" w:rsidRDefault="00382310" w:rsidP="00865A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575F285D" w14:textId="77777777" w:rsidTr="0086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1D8478D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D9C1A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Индекс на стареење / учество на постари лица (65+) во вкупното население</w:t>
            </w:r>
          </w:p>
        </w:tc>
        <w:tc>
          <w:tcPr>
            <w:tcW w:w="0" w:type="auto"/>
            <w:hideMark/>
          </w:tcPr>
          <w:p w14:paraId="239A6DE9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&gt;25% = 1; 21–25% = 2; 16–20% = 3; 11–15% = 2; &lt;10% = 5.</w:t>
            </w:r>
          </w:p>
        </w:tc>
        <w:tc>
          <w:tcPr>
            <w:tcW w:w="0" w:type="auto"/>
            <w:noWrap/>
            <w:hideMark/>
          </w:tcPr>
          <w:p w14:paraId="76773CA9" w14:textId="77777777" w:rsidR="00382310" w:rsidRPr="00515FE4" w:rsidRDefault="00382310" w:rsidP="00865A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61E7F97B" w14:textId="77777777" w:rsidTr="00865A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89C531F" w14:textId="77777777" w:rsidR="00382310" w:rsidRPr="00515FE4" w:rsidRDefault="00382310" w:rsidP="00865A3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Институционален и човечки капацитет</w:t>
            </w:r>
          </w:p>
        </w:tc>
        <w:tc>
          <w:tcPr>
            <w:tcW w:w="0" w:type="auto"/>
            <w:hideMark/>
          </w:tcPr>
          <w:p w14:paraId="202DB636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Вкупен број на вработени во администрацијата</w:t>
            </w:r>
          </w:p>
        </w:tc>
        <w:tc>
          <w:tcPr>
            <w:tcW w:w="0" w:type="auto"/>
            <w:hideMark/>
          </w:tcPr>
          <w:p w14:paraId="14B40977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≤20=5; 21–40=4; 41–60=3; 61–80=2; &gt;80=1</w:t>
            </w:r>
          </w:p>
        </w:tc>
        <w:tc>
          <w:tcPr>
            <w:tcW w:w="0" w:type="auto"/>
            <w:noWrap/>
            <w:hideMark/>
          </w:tcPr>
          <w:p w14:paraId="59DBD785" w14:textId="77777777" w:rsidR="00382310" w:rsidRPr="00515FE4" w:rsidRDefault="00382310" w:rsidP="00865A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20148328" w14:textId="77777777" w:rsidTr="0086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B5AE0AB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9B2B4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Посебно одделение или одговорно лице за основните одделенија</w:t>
            </w:r>
          </w:p>
        </w:tc>
        <w:tc>
          <w:tcPr>
            <w:tcW w:w="0" w:type="auto"/>
            <w:hideMark/>
          </w:tcPr>
          <w:p w14:paraId="59F947CE" w14:textId="77777777" w:rsidR="00382310" w:rsidRPr="00515FE4" w:rsidRDefault="00382310" w:rsidP="00865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7=1; &gt;4=3; &lt;3=5</w:t>
            </w:r>
          </w:p>
        </w:tc>
        <w:tc>
          <w:tcPr>
            <w:tcW w:w="0" w:type="auto"/>
            <w:noWrap/>
            <w:hideMark/>
          </w:tcPr>
          <w:p w14:paraId="4B448E50" w14:textId="77777777" w:rsidR="00382310" w:rsidRPr="00515FE4" w:rsidRDefault="00382310" w:rsidP="00865A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  <w:tr w:rsidR="00382310" w:rsidRPr="00515FE4" w14:paraId="3AE40A13" w14:textId="77777777" w:rsidTr="00865A3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DF8652E" w14:textId="77777777" w:rsidR="00382310" w:rsidRPr="00515FE4" w:rsidRDefault="00382310" w:rsidP="00865A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E72C5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Има усвоена активна стратегија/план за развој</w:t>
            </w:r>
          </w:p>
        </w:tc>
        <w:tc>
          <w:tcPr>
            <w:tcW w:w="0" w:type="auto"/>
            <w:hideMark/>
          </w:tcPr>
          <w:p w14:paraId="5595E055" w14:textId="77777777" w:rsidR="00382310" w:rsidRPr="00515FE4" w:rsidRDefault="00382310" w:rsidP="00865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еден документ=5, два документа=4, три документа=3, четири документа=2, пет или повеќе документа=1</w:t>
            </w:r>
          </w:p>
        </w:tc>
        <w:tc>
          <w:tcPr>
            <w:tcW w:w="0" w:type="auto"/>
            <w:noWrap/>
            <w:hideMark/>
          </w:tcPr>
          <w:p w14:paraId="71CC04E0" w14:textId="77777777" w:rsidR="00382310" w:rsidRPr="00515FE4" w:rsidRDefault="00382310" w:rsidP="00865A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515F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</w:tr>
    </w:tbl>
    <w:p w14:paraId="596348C0" w14:textId="77777777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50EAE363" w14:textId="77777777" w:rsidR="00382310" w:rsidRPr="00515FE4" w:rsidRDefault="00382310" w:rsidP="00382310">
      <w:pPr>
        <w:pStyle w:val="Heading2"/>
        <w:rPr>
          <w:lang w:val="mk-MK"/>
        </w:rPr>
      </w:pPr>
      <w:bookmarkStart w:id="2" w:name="_Toc216778918"/>
      <w:r w:rsidRPr="00515FE4">
        <w:rPr>
          <w:lang w:val="mk-MK"/>
        </w:rPr>
        <w:t>Методологија на бодување</w:t>
      </w:r>
      <w:bookmarkEnd w:id="2"/>
    </w:p>
    <w:p w14:paraId="5E222D8C" w14:textId="77777777" w:rsidR="00382310" w:rsidRPr="00515FE4" w:rsidRDefault="00382310" w:rsidP="0038231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За секој критериум се доделуваат бодови според дефинирана скала (од 1 до 5).</w:t>
      </w:r>
    </w:p>
    <w:p w14:paraId="603A32DE" w14:textId="77777777" w:rsidR="00382310" w:rsidRPr="00515FE4" w:rsidRDefault="00382310" w:rsidP="0038231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Вкупниот број бодови за секоја општина се пресметува како збир на бодовите по сите критериуми, прилагоден на тежината.</w:t>
      </w:r>
    </w:p>
    <w:p w14:paraId="33BE54C7" w14:textId="77777777" w:rsidR="00382310" w:rsidRPr="00515FE4" w:rsidRDefault="00382310" w:rsidP="0038231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Општините се рангираат според вкупниот број освоени бодови.</w:t>
      </w:r>
    </w:p>
    <w:p w14:paraId="5BFF3641" w14:textId="77777777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68D13D3E" w14:textId="77777777" w:rsidR="00382310" w:rsidRPr="00515FE4" w:rsidRDefault="00382310" w:rsidP="00382310">
      <w:pPr>
        <w:pStyle w:val="Heading1"/>
        <w:rPr>
          <w:lang w:val="mk-MK"/>
        </w:rPr>
      </w:pPr>
      <w:bookmarkStart w:id="3" w:name="_Toc210596880"/>
      <w:bookmarkStart w:id="4" w:name="_Toc216778919"/>
      <w:r w:rsidRPr="00515FE4">
        <w:rPr>
          <w:lang w:val="mk-MK"/>
        </w:rPr>
        <w:t>Механизам за разрешување на изедначени резултати</w:t>
      </w:r>
      <w:bookmarkEnd w:id="3"/>
      <w:bookmarkEnd w:id="4"/>
    </w:p>
    <w:p w14:paraId="3E27675D" w14:textId="5376EB59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 xml:space="preserve">Со цел да се обезбеди објективен и транспарентен процес на селекција, методологијата предвидува јасни правила за постапување во ситуации кога две или повеќе општини ќе освојат идентичен вкупен број на бодови. Овој механизам е утврден за да се избегне субјективност и да се овозможи систематско и </w:t>
      </w:r>
      <w:proofErr w:type="spellStart"/>
      <w:r w:rsidRPr="00515FE4">
        <w:rPr>
          <w:rFonts w:ascii="Calibri" w:hAnsi="Calibri" w:cs="Calibri"/>
          <w:sz w:val="22"/>
          <w:szCs w:val="22"/>
          <w:lang w:val="mk-MK"/>
        </w:rPr>
        <w:t>проверливо</w:t>
      </w:r>
      <w:proofErr w:type="spellEnd"/>
      <w:r w:rsidRPr="00515FE4">
        <w:rPr>
          <w:rFonts w:ascii="Calibri" w:hAnsi="Calibri" w:cs="Calibri"/>
          <w:sz w:val="22"/>
          <w:szCs w:val="22"/>
          <w:lang w:val="mk-MK"/>
        </w:rPr>
        <w:t xml:space="preserve"> разгледување на сите релевантни критериуми.</w:t>
      </w:r>
    </w:p>
    <w:p w14:paraId="29A27BF5" w14:textId="22CCDD4D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Постапката ќе се спроведува во две фази:</w:t>
      </w:r>
    </w:p>
    <w:p w14:paraId="597A1CC6" w14:textId="77777777" w:rsidR="00382310" w:rsidRPr="00515FE4" w:rsidRDefault="00382310" w:rsidP="00382310">
      <w:pPr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Фаза 1 – Селекција според критериуми</w:t>
      </w:r>
      <w:r w:rsidRPr="00515FE4">
        <w:rPr>
          <w:rFonts w:ascii="Calibri" w:hAnsi="Calibri" w:cs="Calibri"/>
          <w:sz w:val="22"/>
          <w:szCs w:val="22"/>
          <w:lang w:val="mk-MK"/>
        </w:rPr>
        <w:br/>
        <w:t>Во првата фаза се споредуваат вкупните бодови постигнати во рамки на секој од трите критериуми.</w:t>
      </w:r>
    </w:p>
    <w:p w14:paraId="3CAECFAA" w14:textId="77777777" w:rsidR="00382310" w:rsidRPr="00515FE4" w:rsidRDefault="00382310" w:rsidP="0038231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Најнапред се споредува критериумот Развојни потреби (40%) – предност добива општината со повеќе бодови во овој критериум.</w:t>
      </w:r>
    </w:p>
    <w:p w14:paraId="196190A4" w14:textId="77777777" w:rsidR="00382310" w:rsidRPr="00515FE4" w:rsidRDefault="00382310" w:rsidP="0038231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Доколку и тука има изедначеност, се применува критериумот Институционални и човечки капацитети (40%).</w:t>
      </w:r>
    </w:p>
    <w:p w14:paraId="4EF69BEC" w14:textId="77777777" w:rsidR="00382310" w:rsidRPr="00515FE4" w:rsidRDefault="00382310" w:rsidP="0038231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lastRenderedPageBreak/>
        <w:t>Доколку општините се изедначени, се споредува критериумот Демографски и социјални аспекти (20%).</w:t>
      </w:r>
    </w:p>
    <w:p w14:paraId="65C89D5A" w14:textId="77777777" w:rsidR="00382310" w:rsidRPr="00515FE4" w:rsidRDefault="00382310" w:rsidP="00382310">
      <w:pPr>
        <w:jc w:val="both"/>
        <w:rPr>
          <w:rFonts w:ascii="Calibri" w:hAnsi="Calibri" w:cs="Calibri"/>
          <w:b/>
          <w:bCs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Фаза 2 – Селекција според индикатори</w:t>
      </w:r>
    </w:p>
    <w:p w14:paraId="5C495FC2" w14:textId="77777777" w:rsidR="00382310" w:rsidRPr="00515FE4" w:rsidRDefault="00382310" w:rsidP="00382310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Доколку и по разгледување на трите критериуми општините останат со ист број бодови, се преминува кон детална споредба поединечно според индикаторите, по однапред утврден редослед.</w:t>
      </w:r>
    </w:p>
    <w:p w14:paraId="05EB7C0F" w14:textId="77777777" w:rsidR="00382310" w:rsidRPr="00515FE4" w:rsidRDefault="00382310" w:rsidP="00382310">
      <w:p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Редоследот на индикаторите ја следи логиката на развојните јазови и потребите на општините, почнувајќи од финансиската зависност и долгот, преку демографските карактеристики, па сѐ до институционалните капацитети.</w:t>
      </w:r>
    </w:p>
    <w:p w14:paraId="3602F21D" w14:textId="77777777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2520"/>
        <w:gridCol w:w="3690"/>
      </w:tblGrid>
      <w:tr w:rsidR="00382310" w:rsidRPr="00515FE4" w14:paraId="271F516A" w14:textId="77777777" w:rsidTr="00E10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2A0F11E3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  <w:t>Редослед / Приоритет</w:t>
            </w:r>
          </w:p>
        </w:tc>
        <w:tc>
          <w:tcPr>
            <w:tcW w:w="1710" w:type="dxa"/>
            <w:shd w:val="clear" w:color="auto" w:fill="747474" w:themeFill="background2" w:themeFillShade="80"/>
            <w:hideMark/>
          </w:tcPr>
          <w:p w14:paraId="1F2DF2A8" w14:textId="77777777" w:rsidR="00382310" w:rsidRPr="00E10674" w:rsidRDefault="00382310" w:rsidP="00865A3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  <w:t>Критериум</w:t>
            </w:r>
          </w:p>
        </w:tc>
        <w:tc>
          <w:tcPr>
            <w:tcW w:w="2520" w:type="dxa"/>
            <w:shd w:val="clear" w:color="auto" w:fill="747474" w:themeFill="background2" w:themeFillShade="80"/>
            <w:hideMark/>
          </w:tcPr>
          <w:p w14:paraId="40C2CB8E" w14:textId="77777777" w:rsidR="00382310" w:rsidRPr="00E10674" w:rsidRDefault="00382310" w:rsidP="00865A3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  <w:t>Индикатор</w:t>
            </w:r>
          </w:p>
        </w:tc>
        <w:tc>
          <w:tcPr>
            <w:tcW w:w="3690" w:type="dxa"/>
            <w:shd w:val="clear" w:color="auto" w:fill="747474" w:themeFill="background2" w:themeFillShade="80"/>
            <w:hideMark/>
          </w:tcPr>
          <w:p w14:paraId="0C07ED17" w14:textId="77777777" w:rsidR="00382310" w:rsidRPr="00E10674" w:rsidRDefault="00382310" w:rsidP="00865A3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mk-MK"/>
              </w:rPr>
              <w:t>Правило за предност</w:t>
            </w:r>
          </w:p>
        </w:tc>
      </w:tr>
      <w:tr w:rsidR="00382310" w:rsidRPr="0066017E" w14:paraId="628DA6D4" w14:textId="77777777" w:rsidTr="00E1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778322FA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1</w:t>
            </w:r>
          </w:p>
        </w:tc>
        <w:tc>
          <w:tcPr>
            <w:tcW w:w="1710" w:type="dxa"/>
            <w:hideMark/>
          </w:tcPr>
          <w:p w14:paraId="7CE1B7FE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Развојни потреби</w:t>
            </w:r>
          </w:p>
        </w:tc>
        <w:tc>
          <w:tcPr>
            <w:tcW w:w="2520" w:type="dxa"/>
            <w:hideMark/>
          </w:tcPr>
          <w:p w14:paraId="7A5C901E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% од трансфери во вкупни приходи</w:t>
            </w:r>
          </w:p>
        </w:tc>
        <w:tc>
          <w:tcPr>
            <w:tcW w:w="3690" w:type="dxa"/>
            <w:hideMark/>
          </w:tcPr>
          <w:p w14:paraId="4C11D10C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поголем процент на трансфери.</w:t>
            </w:r>
          </w:p>
        </w:tc>
      </w:tr>
      <w:tr w:rsidR="00382310" w:rsidRPr="0066017E" w14:paraId="1922728C" w14:textId="77777777" w:rsidTr="00E10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6F45FB50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2</w:t>
            </w:r>
          </w:p>
        </w:tc>
        <w:tc>
          <w:tcPr>
            <w:tcW w:w="1710" w:type="dxa"/>
            <w:hideMark/>
          </w:tcPr>
          <w:p w14:paraId="6AC72645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Развојни потреби</w:t>
            </w:r>
          </w:p>
        </w:tc>
        <w:tc>
          <w:tcPr>
            <w:tcW w:w="2520" w:type="dxa"/>
          </w:tcPr>
          <w:p w14:paraId="751408CB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Блокирана сметка</w:t>
            </w:r>
          </w:p>
        </w:tc>
        <w:tc>
          <w:tcPr>
            <w:tcW w:w="3690" w:type="dxa"/>
          </w:tcPr>
          <w:p w14:paraId="1CA24AF6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блокирана сметка.</w:t>
            </w:r>
          </w:p>
        </w:tc>
      </w:tr>
      <w:tr w:rsidR="00382310" w:rsidRPr="0066017E" w14:paraId="33CDDB6C" w14:textId="77777777" w:rsidTr="00E1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59911AA8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3</w:t>
            </w:r>
          </w:p>
        </w:tc>
        <w:tc>
          <w:tcPr>
            <w:tcW w:w="1710" w:type="dxa"/>
            <w:hideMark/>
          </w:tcPr>
          <w:p w14:paraId="2EB888E8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Развојни потреби</w:t>
            </w:r>
          </w:p>
        </w:tc>
        <w:tc>
          <w:tcPr>
            <w:tcW w:w="2520" w:type="dxa"/>
            <w:hideMark/>
          </w:tcPr>
          <w:p w14:paraId="7868F901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Реализација на буџет</w:t>
            </w:r>
          </w:p>
        </w:tc>
        <w:tc>
          <w:tcPr>
            <w:tcW w:w="3690" w:type="dxa"/>
            <w:hideMark/>
          </w:tcPr>
          <w:p w14:paraId="6E259B90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пониска реализација.</w:t>
            </w:r>
          </w:p>
        </w:tc>
      </w:tr>
      <w:tr w:rsidR="00382310" w:rsidRPr="0066017E" w14:paraId="05CDF79E" w14:textId="77777777" w:rsidTr="00E10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7B679EAA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4</w:t>
            </w:r>
          </w:p>
        </w:tc>
        <w:tc>
          <w:tcPr>
            <w:tcW w:w="1710" w:type="dxa"/>
          </w:tcPr>
          <w:p w14:paraId="513ED731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Институционални и човечки капацитети</w:t>
            </w:r>
          </w:p>
        </w:tc>
        <w:tc>
          <w:tcPr>
            <w:tcW w:w="2520" w:type="dxa"/>
          </w:tcPr>
          <w:p w14:paraId="72D26151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Вкупен број на вработени</w:t>
            </w:r>
          </w:p>
        </w:tc>
        <w:tc>
          <w:tcPr>
            <w:tcW w:w="3690" w:type="dxa"/>
          </w:tcPr>
          <w:p w14:paraId="0BEC5D8F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помал број вработени.</w:t>
            </w:r>
          </w:p>
        </w:tc>
      </w:tr>
      <w:tr w:rsidR="00382310" w:rsidRPr="0066017E" w14:paraId="3E8A0773" w14:textId="77777777" w:rsidTr="00E1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49A11282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5</w:t>
            </w:r>
          </w:p>
        </w:tc>
        <w:tc>
          <w:tcPr>
            <w:tcW w:w="1710" w:type="dxa"/>
          </w:tcPr>
          <w:p w14:paraId="434FE236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Институционални и човечки капацитети</w:t>
            </w:r>
          </w:p>
        </w:tc>
        <w:tc>
          <w:tcPr>
            <w:tcW w:w="2520" w:type="dxa"/>
          </w:tcPr>
          <w:p w14:paraId="6AA61B6A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Посебни одделенија</w:t>
            </w:r>
          </w:p>
        </w:tc>
        <w:tc>
          <w:tcPr>
            <w:tcW w:w="3690" w:type="dxa"/>
          </w:tcPr>
          <w:p w14:paraId="01769DA2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помал број функционални одделенија.</w:t>
            </w:r>
          </w:p>
        </w:tc>
      </w:tr>
      <w:tr w:rsidR="00382310" w:rsidRPr="0066017E" w14:paraId="3B3F08A6" w14:textId="77777777" w:rsidTr="00E10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504C9813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6</w:t>
            </w:r>
          </w:p>
        </w:tc>
        <w:tc>
          <w:tcPr>
            <w:tcW w:w="1710" w:type="dxa"/>
          </w:tcPr>
          <w:p w14:paraId="2572F948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Институционални и човечки капацитети</w:t>
            </w:r>
          </w:p>
        </w:tc>
        <w:tc>
          <w:tcPr>
            <w:tcW w:w="2520" w:type="dxa"/>
          </w:tcPr>
          <w:p w14:paraId="46D1F39B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Усвоени стратегии/планови</w:t>
            </w:r>
          </w:p>
        </w:tc>
        <w:tc>
          <w:tcPr>
            <w:tcW w:w="3690" w:type="dxa"/>
          </w:tcPr>
          <w:p w14:paraId="7F7B60D7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помал број на стратешки документи.</w:t>
            </w:r>
          </w:p>
        </w:tc>
      </w:tr>
      <w:tr w:rsidR="00382310" w:rsidRPr="0066017E" w14:paraId="6FA35D36" w14:textId="77777777" w:rsidTr="00E1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7C3B9B8C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7</w:t>
            </w:r>
          </w:p>
        </w:tc>
        <w:tc>
          <w:tcPr>
            <w:tcW w:w="1710" w:type="dxa"/>
          </w:tcPr>
          <w:p w14:paraId="15CB427F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Демографски и социјални аспекти</w:t>
            </w:r>
          </w:p>
        </w:tc>
        <w:tc>
          <w:tcPr>
            <w:tcW w:w="2520" w:type="dxa"/>
          </w:tcPr>
          <w:p w14:paraId="31C2C6B3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Структура на население</w:t>
            </w:r>
          </w:p>
        </w:tc>
        <w:tc>
          <w:tcPr>
            <w:tcW w:w="3690" w:type="dxa"/>
          </w:tcPr>
          <w:p w14:paraId="184D7C39" w14:textId="77777777" w:rsidR="00382310" w:rsidRPr="00515FE4" w:rsidRDefault="00382310" w:rsidP="0086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поголем удел на малцински заедници.</w:t>
            </w:r>
          </w:p>
        </w:tc>
      </w:tr>
      <w:tr w:rsidR="00382310" w:rsidRPr="0066017E" w14:paraId="526A88C0" w14:textId="77777777" w:rsidTr="00E10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747474" w:themeFill="background2" w:themeFillShade="80"/>
            <w:hideMark/>
          </w:tcPr>
          <w:p w14:paraId="693BDDE5" w14:textId="77777777" w:rsidR="00382310" w:rsidRPr="00E10674" w:rsidRDefault="00382310" w:rsidP="00865A3F">
            <w:pPr>
              <w:spacing w:after="160" w:line="278" w:lineRule="auto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</w:pPr>
            <w:r w:rsidRPr="00E10674">
              <w:rPr>
                <w:rFonts w:ascii="Calibri" w:hAnsi="Calibri" w:cs="Calibri"/>
                <w:color w:val="FFFFFF" w:themeColor="background1"/>
                <w:sz w:val="22"/>
                <w:szCs w:val="22"/>
                <w:lang w:val="mk-MK"/>
              </w:rPr>
              <w:t>8</w:t>
            </w:r>
          </w:p>
        </w:tc>
        <w:tc>
          <w:tcPr>
            <w:tcW w:w="1710" w:type="dxa"/>
          </w:tcPr>
          <w:p w14:paraId="38BC8F01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Демографски и социјални аспекти</w:t>
            </w:r>
          </w:p>
        </w:tc>
        <w:tc>
          <w:tcPr>
            <w:tcW w:w="2520" w:type="dxa"/>
          </w:tcPr>
          <w:p w14:paraId="34C6FA06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Индекс на стареење</w:t>
            </w:r>
          </w:p>
        </w:tc>
        <w:tc>
          <w:tcPr>
            <w:tcW w:w="3690" w:type="dxa"/>
          </w:tcPr>
          <w:p w14:paraId="507277CB" w14:textId="77777777" w:rsidR="00382310" w:rsidRPr="00515FE4" w:rsidRDefault="00382310" w:rsidP="0086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515FE4">
              <w:rPr>
                <w:rFonts w:ascii="Calibri" w:hAnsi="Calibri" w:cs="Calibri"/>
                <w:sz w:val="22"/>
                <w:szCs w:val="22"/>
                <w:lang w:val="mk-MK"/>
              </w:rPr>
              <w:t>Предност има општината со помало учество на постари лица (65+) во вкупното население.</w:t>
            </w:r>
          </w:p>
        </w:tc>
      </w:tr>
    </w:tbl>
    <w:p w14:paraId="5C0D1E11" w14:textId="77777777" w:rsidR="00382310" w:rsidRPr="00515FE4" w:rsidRDefault="00382310" w:rsidP="00382310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7E4756BA" w14:textId="77777777" w:rsidR="00382310" w:rsidRPr="00515FE4" w:rsidRDefault="00382310" w:rsidP="00382310">
      <w:pPr>
        <w:pStyle w:val="Heading1"/>
        <w:rPr>
          <w:lang w:val="mk-MK"/>
        </w:rPr>
      </w:pPr>
      <w:bookmarkStart w:id="5" w:name="_Toc210596881"/>
      <w:bookmarkStart w:id="6" w:name="_Toc216778920"/>
      <w:r w:rsidRPr="00515FE4">
        <w:rPr>
          <w:lang w:val="mk-MK"/>
        </w:rPr>
        <w:lastRenderedPageBreak/>
        <w:t>Процес на одлучување</w:t>
      </w:r>
      <w:bookmarkEnd w:id="5"/>
      <w:bookmarkEnd w:id="6"/>
    </w:p>
    <w:p w14:paraId="70A1A6A8" w14:textId="77777777" w:rsidR="005450C4" w:rsidRPr="00515FE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bookmarkStart w:id="7" w:name="_Hlk212147676"/>
      <w:r w:rsidRPr="00515FE4">
        <w:rPr>
          <w:rFonts w:ascii="Calibri" w:hAnsi="Calibri" w:cs="Calibri"/>
          <w:sz w:val="22"/>
          <w:szCs w:val="22"/>
          <w:lang w:val="mk-MK"/>
        </w:rPr>
        <w:t xml:space="preserve">По завршување на административната проверка и бодувањето преку матрицата, резултатите ќе бидат презентирани на </w:t>
      </w:r>
      <w:r>
        <w:rPr>
          <w:rFonts w:ascii="Calibri" w:hAnsi="Calibri" w:cs="Calibri"/>
          <w:sz w:val="22"/>
          <w:szCs w:val="22"/>
          <w:lang w:val="mk-MK"/>
        </w:rPr>
        <w:t>К</w:t>
      </w:r>
      <w:r w:rsidRPr="00515FE4">
        <w:rPr>
          <w:rFonts w:ascii="Calibri" w:hAnsi="Calibri" w:cs="Calibri"/>
          <w:sz w:val="22"/>
          <w:szCs w:val="22"/>
          <w:lang w:val="mk-MK"/>
        </w:rPr>
        <w:t>омисија</w:t>
      </w:r>
      <w:r>
        <w:rPr>
          <w:rFonts w:ascii="Calibri" w:hAnsi="Calibri" w:cs="Calibri"/>
          <w:sz w:val="22"/>
          <w:szCs w:val="22"/>
          <w:lang w:val="mk-MK"/>
        </w:rPr>
        <w:t>та за оценување на подобноста.</w:t>
      </w:r>
    </w:p>
    <w:p w14:paraId="04836C7A" w14:textId="77777777" w:rsidR="005450C4" w:rsidRPr="00AD3D6E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Комисијата ќе ја разгледа документацијата, ќе го потврди точниот број на бодови и ќе одлучи за конечната листа на избрани општини.</w:t>
      </w:r>
    </w:p>
    <w:p w14:paraId="40E53819" w14:textId="77777777" w:rsidR="005450C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AD3D6E">
        <w:rPr>
          <w:rFonts w:ascii="Calibri" w:hAnsi="Calibri" w:cs="Calibri"/>
          <w:sz w:val="22"/>
          <w:szCs w:val="22"/>
          <w:lang w:val="mk-MK"/>
        </w:rPr>
        <w:t xml:space="preserve">Во процесот на разгледување ќе бидат земени предвид и сознанијата произлезени од проценката на потребите, </w:t>
      </w:r>
      <w:r>
        <w:rPr>
          <w:rFonts w:ascii="Calibri" w:hAnsi="Calibri" w:cs="Calibri"/>
          <w:sz w:val="22"/>
          <w:szCs w:val="22"/>
          <w:lang w:val="mk-MK"/>
        </w:rPr>
        <w:t xml:space="preserve">активност </w:t>
      </w:r>
      <w:r w:rsidRPr="00AD3D6E">
        <w:rPr>
          <w:rFonts w:ascii="Calibri" w:hAnsi="Calibri" w:cs="Calibri"/>
          <w:sz w:val="22"/>
          <w:szCs w:val="22"/>
          <w:lang w:val="mk-MK"/>
        </w:rPr>
        <w:t xml:space="preserve">која е во тек и обезбедува подлабоко разбирање на состојбите, предизвиците и потенцијалите на општините. Резултатите од оваа проценка ќе придонесат кон </w:t>
      </w:r>
      <w:r>
        <w:rPr>
          <w:rFonts w:ascii="Calibri" w:hAnsi="Calibri" w:cs="Calibri"/>
          <w:sz w:val="22"/>
          <w:szCs w:val="22"/>
          <w:lang w:val="mk-MK"/>
        </w:rPr>
        <w:t>научени лекции</w:t>
      </w:r>
      <w:r w:rsidRPr="00AD3D6E">
        <w:rPr>
          <w:rFonts w:ascii="Calibri" w:hAnsi="Calibri" w:cs="Calibri"/>
          <w:sz w:val="22"/>
          <w:szCs w:val="22"/>
          <w:lang w:val="mk-MK"/>
        </w:rPr>
        <w:t>, односно препораки за подобрување на методологијата и пристапот во следните циклуси на поддршка.</w:t>
      </w:r>
    </w:p>
    <w:p w14:paraId="34A5DE44" w14:textId="77777777" w:rsidR="005450C4" w:rsidRPr="001C3847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1C3847">
        <w:rPr>
          <w:rFonts w:ascii="Calibri" w:hAnsi="Calibri" w:cs="Calibri"/>
          <w:sz w:val="22"/>
          <w:szCs w:val="22"/>
          <w:lang w:val="mk-MK"/>
        </w:rPr>
        <w:t>Комисијата ќе ја донесе одлуката врз основа на вкупниот број бодови и применетите критериуми, земајќи ја предвид и реалната изводливост на поддршката — односно расположливите ресурси на Ресурсниот центар, бројот и експертизата на ангажираните експерти, обемот на предвидените активности и временската рамка за нивна реализација.</w:t>
      </w:r>
    </w:p>
    <w:p w14:paraId="5A4C9F9B" w14:textId="77777777" w:rsidR="005450C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Сите одлуки ќе се водат преку писмен записник со јасно наведување на критериумите и аргументите врз основа на кои е донесена одлуката.</w:t>
      </w:r>
    </w:p>
    <w:p w14:paraId="4893F365" w14:textId="77777777" w:rsidR="005450C4" w:rsidRPr="00F734D8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Конечната листа на општини ќе биде усвоена преку гласање на членовите на Комисијата. Секој член е должен да потпише изјава за непостоење на конфликт на интереси, со што се обезбедува транспарентност и интегритет на процесот.</w:t>
      </w:r>
    </w:p>
    <w:p w14:paraId="6EED4DB8" w14:textId="77777777" w:rsidR="005450C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 xml:space="preserve">По усвојувањето, ќе се изготви </w:t>
      </w:r>
      <w:r w:rsidRPr="00F734D8">
        <w:rPr>
          <w:rFonts w:ascii="Calibri" w:hAnsi="Calibri" w:cs="Calibri"/>
          <w:b/>
          <w:bCs/>
          <w:sz w:val="22"/>
          <w:szCs w:val="22"/>
          <w:lang w:val="mk-MK"/>
        </w:rPr>
        <w:t>Извештај за евалуација</w:t>
      </w:r>
      <w:r w:rsidRPr="00F734D8">
        <w:rPr>
          <w:rFonts w:ascii="Calibri" w:hAnsi="Calibri" w:cs="Calibri"/>
          <w:sz w:val="22"/>
          <w:szCs w:val="22"/>
          <w:lang w:val="mk-MK"/>
        </w:rPr>
        <w:t>, кој ќе ги содржи:</w:t>
      </w:r>
    </w:p>
    <w:p w14:paraId="20CB787E" w14:textId="77777777" w:rsidR="005450C4" w:rsidRDefault="005450C4" w:rsidP="005450C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конечните бодови по општина;</w:t>
      </w:r>
    </w:p>
    <w:p w14:paraId="38DA3BF0" w14:textId="77777777" w:rsidR="005450C4" w:rsidRDefault="005450C4" w:rsidP="005450C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применетите правила за утврдување на приоритет при еднаков број на бодови;</w:t>
      </w:r>
    </w:p>
    <w:p w14:paraId="273A2893" w14:textId="77777777" w:rsidR="005450C4" w:rsidRDefault="005450C4" w:rsidP="005450C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листата на избрани општини со соодветно образложение;</w:t>
      </w:r>
    </w:p>
    <w:p w14:paraId="7D3366B1" w14:textId="77777777" w:rsidR="005450C4" w:rsidRPr="00F734D8" w:rsidRDefault="005450C4" w:rsidP="005450C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кратка анализа на добри практики и поуки од процесот</w:t>
      </w:r>
      <w:r>
        <w:rPr>
          <w:rFonts w:ascii="Calibri" w:hAnsi="Calibri" w:cs="Calibri"/>
          <w:sz w:val="22"/>
          <w:szCs w:val="22"/>
          <w:lang w:val="mk-MK"/>
        </w:rPr>
        <w:t>.</w:t>
      </w:r>
    </w:p>
    <w:p w14:paraId="37F78598" w14:textId="77777777" w:rsidR="005450C4" w:rsidRPr="00515FE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sz w:val="22"/>
          <w:szCs w:val="22"/>
          <w:lang w:val="mk-MK"/>
        </w:rPr>
        <w:t>Извештајот ќе биде формално потпишан од сите членови на Комисијата, како доказ за согласност со донесените одлуки.</w:t>
      </w:r>
    </w:p>
    <w:p w14:paraId="2DCCE446" w14:textId="77777777" w:rsidR="005450C4" w:rsidRDefault="005450C4" w:rsidP="005450C4">
      <w:pPr>
        <w:numPr>
          <w:ilvl w:val="0"/>
          <w:numId w:val="3"/>
        </w:num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F734D8">
        <w:rPr>
          <w:rFonts w:ascii="Calibri" w:hAnsi="Calibri" w:cs="Calibri"/>
          <w:sz w:val="22"/>
          <w:szCs w:val="22"/>
          <w:lang w:val="mk-MK"/>
        </w:rPr>
        <w:t>Сите одлуки, образложенија и податоци ќе се чуваат како официјална евиденција и ќе бидат достапни за надзор и ревизија, во согласност со процедурите на Ресурсниот центар</w:t>
      </w:r>
      <w:r>
        <w:rPr>
          <w:rFonts w:ascii="Calibri" w:hAnsi="Calibri" w:cs="Calibri"/>
          <w:sz w:val="22"/>
          <w:szCs w:val="22"/>
          <w:lang w:val="mk-MK"/>
        </w:rPr>
        <w:t>.</w:t>
      </w:r>
    </w:p>
    <w:p w14:paraId="4622B7B2" w14:textId="77777777" w:rsidR="00D0304D" w:rsidRDefault="00D0304D" w:rsidP="00D0304D">
      <w:p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7823EEBF" w14:textId="77777777" w:rsidR="00D0304D" w:rsidRDefault="00D0304D" w:rsidP="00D0304D">
      <w:pPr>
        <w:spacing w:before="240" w:after="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151E244A" w14:textId="77777777" w:rsidR="00D0304D" w:rsidRDefault="00D0304D" w:rsidP="00382310">
      <w:pPr>
        <w:jc w:val="both"/>
        <w:rPr>
          <w:rFonts w:ascii="Calibri" w:hAnsi="Calibri" w:cs="Calibri"/>
          <w:b/>
          <w:bCs/>
          <w:sz w:val="22"/>
          <w:szCs w:val="22"/>
          <w:lang w:val="mk-MK"/>
        </w:rPr>
      </w:pPr>
    </w:p>
    <w:p w14:paraId="1514AAD1" w14:textId="158B1E82" w:rsidR="00382310" w:rsidRPr="00515FE4" w:rsidRDefault="00382310" w:rsidP="00382310">
      <w:pPr>
        <w:jc w:val="both"/>
        <w:rPr>
          <w:rFonts w:ascii="Calibri" w:hAnsi="Calibri" w:cs="Calibri"/>
          <w:b/>
          <w:bCs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lastRenderedPageBreak/>
        <w:t>Клучни принципи</w:t>
      </w:r>
    </w:p>
    <w:p w14:paraId="54E9DA95" w14:textId="77777777" w:rsidR="00382310" w:rsidRPr="00515FE4" w:rsidRDefault="00382310" w:rsidP="00382310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Транспарентност</w:t>
      </w:r>
      <w:r w:rsidRPr="00515FE4">
        <w:rPr>
          <w:rFonts w:ascii="Calibri" w:hAnsi="Calibri" w:cs="Calibri"/>
          <w:sz w:val="22"/>
          <w:szCs w:val="22"/>
          <w:lang w:val="mk-MK"/>
        </w:rPr>
        <w:t xml:space="preserve"> – одлуките ќе бидат образложени и документирани.</w:t>
      </w:r>
    </w:p>
    <w:p w14:paraId="2A736AFC" w14:textId="77777777" w:rsidR="00382310" w:rsidRPr="00515FE4" w:rsidRDefault="00382310" w:rsidP="00382310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Непристрасност</w:t>
      </w:r>
      <w:r w:rsidRPr="00515FE4">
        <w:rPr>
          <w:rFonts w:ascii="Calibri" w:hAnsi="Calibri" w:cs="Calibri"/>
          <w:sz w:val="22"/>
          <w:szCs w:val="22"/>
          <w:lang w:val="mk-MK"/>
        </w:rPr>
        <w:t xml:space="preserve"> – членовите мора да потпишат изјава за непостоење на конфликт на интереси.</w:t>
      </w:r>
    </w:p>
    <w:p w14:paraId="28DC0BC2" w14:textId="3AFD003B" w:rsidR="00382310" w:rsidRPr="00515FE4" w:rsidRDefault="00382310" w:rsidP="00382310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Конзистентност</w:t>
      </w:r>
      <w:r w:rsidRPr="00515FE4">
        <w:rPr>
          <w:rFonts w:ascii="Calibri" w:hAnsi="Calibri" w:cs="Calibri"/>
          <w:sz w:val="22"/>
          <w:szCs w:val="22"/>
          <w:lang w:val="mk-MK"/>
        </w:rPr>
        <w:t xml:space="preserve"> – се применуваат однапред дефинираните критериуми и правила.</w:t>
      </w:r>
    </w:p>
    <w:p w14:paraId="1CBBCC86" w14:textId="77777777" w:rsidR="00382310" w:rsidRPr="00515FE4" w:rsidRDefault="00382310" w:rsidP="00382310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  <w:lang w:val="mk-MK"/>
        </w:rPr>
      </w:pPr>
      <w:r w:rsidRPr="00515FE4">
        <w:rPr>
          <w:rFonts w:ascii="Calibri" w:hAnsi="Calibri" w:cs="Calibri"/>
          <w:b/>
          <w:bCs/>
          <w:sz w:val="22"/>
          <w:szCs w:val="22"/>
          <w:lang w:val="mk-MK"/>
        </w:rPr>
        <w:t>Инклузивност</w:t>
      </w:r>
      <w:r w:rsidRPr="00515FE4">
        <w:rPr>
          <w:rFonts w:ascii="Calibri" w:hAnsi="Calibri" w:cs="Calibri"/>
          <w:sz w:val="22"/>
          <w:szCs w:val="22"/>
          <w:lang w:val="mk-MK"/>
        </w:rPr>
        <w:t xml:space="preserve"> – Комисијата ќе биде составена од експерти со различен профил и институционална застапеност.</w:t>
      </w:r>
    </w:p>
    <w:bookmarkEnd w:id="7"/>
    <w:p w14:paraId="5F111EFD" w14:textId="77777777" w:rsidR="00382310" w:rsidRDefault="00382310">
      <w:pPr>
        <w:rPr>
          <w:lang w:val="mk-MK"/>
        </w:rPr>
      </w:pPr>
    </w:p>
    <w:p w14:paraId="5F7EB16F" w14:textId="77777777" w:rsidR="00382310" w:rsidRPr="00382310" w:rsidRDefault="00382310">
      <w:pPr>
        <w:rPr>
          <w:lang w:val="mk-MK"/>
        </w:rPr>
      </w:pPr>
    </w:p>
    <w:sectPr w:rsidR="00382310" w:rsidRPr="00382310" w:rsidSect="00382310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C132" w14:textId="77777777" w:rsidR="00011B94" w:rsidRDefault="00011B94" w:rsidP="003367FB">
      <w:pPr>
        <w:spacing w:after="0" w:line="240" w:lineRule="auto"/>
      </w:pPr>
      <w:r>
        <w:separator/>
      </w:r>
    </w:p>
  </w:endnote>
  <w:endnote w:type="continuationSeparator" w:id="0">
    <w:p w14:paraId="2FA14446" w14:textId="77777777" w:rsidR="00011B94" w:rsidRDefault="00011B94" w:rsidP="0033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524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DAC26" w14:textId="7B16A415" w:rsidR="003367FB" w:rsidRDefault="003367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4F30A" w14:textId="77777777" w:rsidR="003367FB" w:rsidRDefault="0033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E362" w14:textId="77777777" w:rsidR="00011B94" w:rsidRDefault="00011B94" w:rsidP="003367FB">
      <w:pPr>
        <w:spacing w:after="0" w:line="240" w:lineRule="auto"/>
      </w:pPr>
      <w:r>
        <w:separator/>
      </w:r>
    </w:p>
  </w:footnote>
  <w:footnote w:type="continuationSeparator" w:id="0">
    <w:p w14:paraId="642B6DC8" w14:textId="77777777" w:rsidR="00011B94" w:rsidRDefault="00011B94" w:rsidP="0033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A1D"/>
    <w:multiLevelType w:val="multilevel"/>
    <w:tmpl w:val="ABD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E22"/>
    <w:multiLevelType w:val="hybridMultilevel"/>
    <w:tmpl w:val="C2ACB3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C61F4"/>
    <w:multiLevelType w:val="hybridMultilevel"/>
    <w:tmpl w:val="4A2A8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11E10"/>
    <w:multiLevelType w:val="multilevel"/>
    <w:tmpl w:val="ED5C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C0DAC"/>
    <w:multiLevelType w:val="multilevel"/>
    <w:tmpl w:val="44A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51D57"/>
    <w:multiLevelType w:val="multilevel"/>
    <w:tmpl w:val="82B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407658">
    <w:abstractNumId w:val="5"/>
  </w:num>
  <w:num w:numId="2" w16cid:durableId="558709800">
    <w:abstractNumId w:val="3"/>
  </w:num>
  <w:num w:numId="3" w16cid:durableId="2071995189">
    <w:abstractNumId w:val="0"/>
  </w:num>
  <w:num w:numId="4" w16cid:durableId="562066133">
    <w:abstractNumId w:val="4"/>
  </w:num>
  <w:num w:numId="5" w16cid:durableId="433865476">
    <w:abstractNumId w:val="1"/>
  </w:num>
  <w:num w:numId="6" w16cid:durableId="43590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10"/>
    <w:rsid w:val="00011B94"/>
    <w:rsid w:val="000530AA"/>
    <w:rsid w:val="000C38A3"/>
    <w:rsid w:val="001816CB"/>
    <w:rsid w:val="001E5D65"/>
    <w:rsid w:val="003367FB"/>
    <w:rsid w:val="00382310"/>
    <w:rsid w:val="00390ABE"/>
    <w:rsid w:val="00426A4E"/>
    <w:rsid w:val="004460C5"/>
    <w:rsid w:val="005450C4"/>
    <w:rsid w:val="00560F95"/>
    <w:rsid w:val="006542E3"/>
    <w:rsid w:val="0066017E"/>
    <w:rsid w:val="00684C07"/>
    <w:rsid w:val="006A3295"/>
    <w:rsid w:val="006C28CB"/>
    <w:rsid w:val="007B54E9"/>
    <w:rsid w:val="00805E54"/>
    <w:rsid w:val="00830508"/>
    <w:rsid w:val="00917F3F"/>
    <w:rsid w:val="00962582"/>
    <w:rsid w:val="00A26528"/>
    <w:rsid w:val="00A46926"/>
    <w:rsid w:val="00A52C60"/>
    <w:rsid w:val="00AE61C9"/>
    <w:rsid w:val="00C40865"/>
    <w:rsid w:val="00C66802"/>
    <w:rsid w:val="00C736A6"/>
    <w:rsid w:val="00CC6C33"/>
    <w:rsid w:val="00D0304D"/>
    <w:rsid w:val="00D829C3"/>
    <w:rsid w:val="00DD7B50"/>
    <w:rsid w:val="00E10674"/>
    <w:rsid w:val="00E8020E"/>
    <w:rsid w:val="00F0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EC67"/>
  <w15:chartTrackingRefBased/>
  <w15:docId w15:val="{82B5A082-7E11-4864-B457-AA483DF7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CB"/>
  </w:style>
  <w:style w:type="paragraph" w:styleId="Heading1">
    <w:name w:val="heading 1"/>
    <w:basedOn w:val="Normal"/>
    <w:next w:val="Normal"/>
    <w:link w:val="Heading1Char"/>
    <w:uiPriority w:val="9"/>
    <w:qFormat/>
    <w:rsid w:val="0018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816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C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81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8231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82310"/>
    <w:rPr>
      <w:rFonts w:eastAsiaTheme="minorEastAsia"/>
      <w:kern w:val="0"/>
      <w:sz w:val="22"/>
      <w:szCs w:val="22"/>
      <w14:ligatures w14:val="none"/>
    </w:rPr>
  </w:style>
  <w:style w:type="table" w:styleId="GridTable2">
    <w:name w:val="Grid Table 2"/>
    <w:basedOn w:val="TableNormal"/>
    <w:uiPriority w:val="47"/>
    <w:rsid w:val="003823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3823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3823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8231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823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31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8231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1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FB"/>
  </w:style>
  <w:style w:type="paragraph" w:styleId="Footer">
    <w:name w:val="footer"/>
    <w:basedOn w:val="Normal"/>
    <w:link w:val="FooterChar"/>
    <w:uiPriority w:val="99"/>
    <w:unhideWhenUsed/>
    <w:rsid w:val="0033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6BBAA0A8D419385A2C39F9670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2B3A-79FB-4E7D-AF15-7DD97FE5E0AC}"/>
      </w:docPartPr>
      <w:docPartBody>
        <w:p w:rsidR="003639C4" w:rsidRDefault="005421B9" w:rsidP="005421B9">
          <w:pPr>
            <w:pStyle w:val="1776BBAA0A8D419385A2C39F9670C7B1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1DDFAA8F825C40D98AB7F3676341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EA4D-D63C-4620-B57F-18971036DEEC}"/>
      </w:docPartPr>
      <w:docPartBody>
        <w:p w:rsidR="003639C4" w:rsidRDefault="005421B9" w:rsidP="005421B9">
          <w:pPr>
            <w:pStyle w:val="1DDFAA8F825C40D98AB7F36763414211"/>
          </w:pPr>
          <w:r>
            <w:rPr>
              <w:color w:val="FFFFFF" w:themeColor="background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B9"/>
    <w:rsid w:val="003639C4"/>
    <w:rsid w:val="005421B9"/>
    <w:rsid w:val="00564049"/>
    <w:rsid w:val="00684C07"/>
    <w:rsid w:val="007B54E9"/>
    <w:rsid w:val="00AD0C5E"/>
    <w:rsid w:val="00B1522F"/>
    <w:rsid w:val="00C40865"/>
    <w:rsid w:val="00DC5E7E"/>
    <w:rsid w:val="00DD7B50"/>
    <w:rsid w:val="00E8020E"/>
    <w:rsid w:val="00E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76BBAA0A8D419385A2C39F9670C7B1">
    <w:name w:val="1776BBAA0A8D419385A2C39F9670C7B1"/>
    <w:rsid w:val="005421B9"/>
  </w:style>
  <w:style w:type="paragraph" w:customStyle="1" w:styleId="1DDFAA8F825C40D98AB7F36763414211">
    <w:name w:val="1DDFAA8F825C40D98AB7F36763414211"/>
    <w:rsid w:val="00542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Октомври, 2025</PublishDate>
  <Abstract/>
  <CompanyAddress>Октомври, 2025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Методологија за евалуација (рубрика за бодување, пондери)</dc:title>
  <dc:subject/>
  <dc:creator>Петровска Ана Марија</dc:creator>
  <cp:keywords/>
  <dc:description/>
  <cp:lastModifiedBy>Петровска Ана Марија</cp:lastModifiedBy>
  <cp:revision>11</cp:revision>
  <dcterms:created xsi:type="dcterms:W3CDTF">2025-10-05T20:53:00Z</dcterms:created>
  <dcterms:modified xsi:type="dcterms:W3CDTF">2025-12-16T10:01:00Z</dcterms:modified>
</cp:coreProperties>
</file>